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ADCDC" w14:textId="09ED4DB5" w:rsidR="00721A1D" w:rsidRPr="00754EE0" w:rsidRDefault="00E66344" w:rsidP="00721A1D">
      <w:pPr>
        <w:ind w:firstLine="0"/>
        <w:jc w:val="center"/>
        <w:rPr>
          <w:rFonts w:ascii="Garamond" w:hAnsi="Garamond"/>
          <w:b/>
          <w:smallCaps/>
          <w:sz w:val="28"/>
          <w:lang w:val="en-US"/>
        </w:rPr>
      </w:pPr>
      <w:r>
        <w:rPr>
          <w:rFonts w:ascii="Garamond" w:hAnsi="Garamond"/>
          <w:b/>
          <w:smallCaps/>
          <w:sz w:val="28"/>
          <w:lang w:val="en-US"/>
        </w:rPr>
        <w:t xml:space="preserve">peranan </w:t>
      </w:r>
      <w:r w:rsidR="00D041E9">
        <w:rPr>
          <w:rFonts w:ascii="Garamond" w:hAnsi="Garamond"/>
          <w:b/>
          <w:smallCaps/>
          <w:sz w:val="28"/>
          <w:lang w:val="en-US"/>
        </w:rPr>
        <w:t>fisika dalam baku mutu</w:t>
      </w:r>
      <w:r>
        <w:rPr>
          <w:rFonts w:ascii="Garamond" w:hAnsi="Garamond"/>
          <w:b/>
          <w:smallCaps/>
          <w:sz w:val="28"/>
          <w:lang w:val="en-US"/>
        </w:rPr>
        <w:t xml:space="preserve"> budidaya</w:t>
      </w:r>
    </w:p>
    <w:p w14:paraId="5FF7AE19" w14:textId="77777777" w:rsidR="00721A1D" w:rsidRPr="00715728" w:rsidRDefault="00721A1D" w:rsidP="00721A1D">
      <w:pPr>
        <w:jc w:val="center"/>
        <w:rPr>
          <w:lang w:val="en-US"/>
        </w:rPr>
      </w:pPr>
    </w:p>
    <w:p w14:paraId="2D7842E8" w14:textId="623B6F6B" w:rsidR="00DA713F" w:rsidRPr="00DA713F" w:rsidRDefault="00DA713F" w:rsidP="00721A1D">
      <w:pPr>
        <w:ind w:firstLine="0"/>
        <w:jc w:val="center"/>
        <w:rPr>
          <w:rFonts w:ascii="Garamond" w:hAnsi="Garamond"/>
          <w:b/>
          <w:sz w:val="28"/>
          <w:szCs w:val="28"/>
          <w:lang w:val="en-US"/>
        </w:rPr>
      </w:pPr>
      <w:r w:rsidRPr="00DA713F">
        <w:rPr>
          <w:rFonts w:ascii="Garamond" w:hAnsi="Garamond"/>
          <w:b/>
          <w:sz w:val="28"/>
          <w:szCs w:val="28"/>
          <w:lang w:val="en-US"/>
        </w:rPr>
        <w:t>THE ROLE OF PHYSICS IN CULTIVATION QUALITY STANDARDS</w:t>
      </w:r>
    </w:p>
    <w:p w14:paraId="5C10E1FC" w14:textId="77777777" w:rsidR="00DA713F" w:rsidRDefault="00DA713F" w:rsidP="00721A1D">
      <w:pPr>
        <w:ind w:firstLine="0"/>
        <w:jc w:val="center"/>
        <w:rPr>
          <w:rFonts w:ascii="Garamond" w:hAnsi="Garamond"/>
          <w:b/>
          <w:sz w:val="20"/>
          <w:szCs w:val="20"/>
          <w:lang w:val="en-US"/>
        </w:rPr>
      </w:pPr>
    </w:p>
    <w:p w14:paraId="3BDEEE8B" w14:textId="589A2B34" w:rsidR="00721A1D" w:rsidRPr="00754EE0" w:rsidRDefault="00E66344" w:rsidP="00721A1D">
      <w:pPr>
        <w:ind w:firstLine="0"/>
        <w:jc w:val="center"/>
        <w:rPr>
          <w:rFonts w:ascii="Garamond" w:hAnsi="Garamond"/>
          <w:b/>
          <w:sz w:val="20"/>
          <w:szCs w:val="20"/>
          <w:vertAlign w:val="superscript"/>
          <w:lang w:val="en-US"/>
        </w:rPr>
      </w:pPr>
      <w:r>
        <w:rPr>
          <w:rFonts w:ascii="Garamond" w:hAnsi="Garamond"/>
          <w:b/>
          <w:sz w:val="20"/>
          <w:szCs w:val="20"/>
          <w:lang w:val="en-US"/>
        </w:rPr>
        <w:t>Firmansyah Bagus Saputra</w:t>
      </w:r>
      <w:r>
        <w:rPr>
          <w:rFonts w:ascii="Garamond" w:hAnsi="Garamond"/>
          <w:b/>
          <w:sz w:val="20"/>
          <w:szCs w:val="20"/>
          <w:vertAlign w:val="superscript"/>
          <w:lang w:val="en-US"/>
        </w:rPr>
        <w:t>a</w:t>
      </w:r>
      <w:r>
        <w:rPr>
          <w:rFonts w:ascii="Garamond" w:hAnsi="Garamond"/>
          <w:b/>
          <w:sz w:val="20"/>
          <w:szCs w:val="20"/>
          <w:lang w:val="en-US"/>
        </w:rPr>
        <w:t>*</w:t>
      </w:r>
    </w:p>
    <w:p w14:paraId="72720ED4" w14:textId="77777777" w:rsidR="00AB1FB6" w:rsidRPr="00754EE0" w:rsidRDefault="00AB1FB6" w:rsidP="00721A1D">
      <w:pPr>
        <w:ind w:firstLine="0"/>
        <w:jc w:val="center"/>
        <w:rPr>
          <w:rFonts w:ascii="Garamond" w:hAnsi="Garamond"/>
          <w:b/>
          <w:sz w:val="20"/>
          <w:szCs w:val="20"/>
          <w:lang w:val="en-US"/>
        </w:rPr>
      </w:pPr>
    </w:p>
    <w:p w14:paraId="1CAFCE08" w14:textId="17342125" w:rsidR="00721A1D" w:rsidRPr="00754EE0" w:rsidRDefault="00721A1D" w:rsidP="00721A1D">
      <w:pPr>
        <w:autoSpaceDE w:val="0"/>
        <w:autoSpaceDN w:val="0"/>
        <w:adjustRightInd w:val="0"/>
        <w:ind w:firstLine="0"/>
        <w:jc w:val="center"/>
        <w:rPr>
          <w:rFonts w:ascii="Garamond" w:hAnsi="Garamond"/>
          <w:sz w:val="20"/>
          <w:szCs w:val="20"/>
          <w:lang w:val="en-US"/>
        </w:rPr>
      </w:pPr>
      <w:proofErr w:type="gramStart"/>
      <w:r w:rsidRPr="00754EE0">
        <w:rPr>
          <w:rFonts w:ascii="Garamond" w:hAnsi="Garamond"/>
          <w:sz w:val="20"/>
          <w:szCs w:val="20"/>
          <w:vertAlign w:val="superscript"/>
          <w:lang w:val="en-US"/>
        </w:rPr>
        <w:t>a</w:t>
      </w:r>
      <w:r w:rsidR="00E66344">
        <w:rPr>
          <w:rFonts w:ascii="Garamond" w:hAnsi="Garamond"/>
          <w:sz w:val="20"/>
          <w:szCs w:val="20"/>
          <w:lang w:val="en-US"/>
        </w:rPr>
        <w:t>Budidaya</w:t>
      </w:r>
      <w:proofErr w:type="gramEnd"/>
      <w:r w:rsidR="00E66344">
        <w:rPr>
          <w:rFonts w:ascii="Garamond" w:hAnsi="Garamond"/>
          <w:sz w:val="20"/>
          <w:szCs w:val="20"/>
          <w:lang w:val="en-US"/>
        </w:rPr>
        <w:t xml:space="preserve"> Perikanan</w:t>
      </w:r>
      <w:r w:rsidR="00AB1FB6" w:rsidRPr="00754EE0">
        <w:rPr>
          <w:rFonts w:ascii="Garamond" w:hAnsi="Garamond"/>
          <w:sz w:val="20"/>
          <w:szCs w:val="20"/>
          <w:lang w:val="en-US"/>
        </w:rPr>
        <w:t xml:space="preserve">, </w:t>
      </w:r>
      <w:r w:rsidR="00E66344">
        <w:rPr>
          <w:rFonts w:ascii="Garamond" w:hAnsi="Garamond"/>
          <w:sz w:val="20"/>
          <w:szCs w:val="20"/>
          <w:lang w:val="en-US"/>
        </w:rPr>
        <w:t>Universitas Pancasakti</w:t>
      </w:r>
      <w:r w:rsidRPr="00754EE0">
        <w:rPr>
          <w:rFonts w:ascii="Garamond" w:hAnsi="Garamond"/>
          <w:sz w:val="20"/>
          <w:szCs w:val="20"/>
          <w:lang w:val="en-US"/>
        </w:rPr>
        <w:t xml:space="preserve">, </w:t>
      </w:r>
      <w:r w:rsidR="00E66344">
        <w:rPr>
          <w:rFonts w:ascii="Garamond" w:hAnsi="Garamond"/>
          <w:sz w:val="20"/>
          <w:szCs w:val="20"/>
          <w:lang w:val="en-US"/>
        </w:rPr>
        <w:t>Tegal</w:t>
      </w:r>
      <w:r w:rsidRPr="00754EE0">
        <w:rPr>
          <w:rFonts w:ascii="Garamond" w:hAnsi="Garamond"/>
          <w:sz w:val="20"/>
          <w:szCs w:val="20"/>
          <w:lang w:val="en-US"/>
        </w:rPr>
        <w:t xml:space="preserve">, </w:t>
      </w:r>
      <w:r w:rsidR="00E66344">
        <w:rPr>
          <w:rFonts w:ascii="Garamond" w:hAnsi="Garamond"/>
          <w:sz w:val="20"/>
          <w:szCs w:val="20"/>
          <w:lang w:val="en-US"/>
        </w:rPr>
        <w:t>Indonesia</w:t>
      </w:r>
    </w:p>
    <w:p w14:paraId="072216F6" w14:textId="77777777" w:rsidR="00AB1FB6" w:rsidRPr="00754EE0" w:rsidRDefault="00AB1FB6" w:rsidP="00721A1D">
      <w:pPr>
        <w:autoSpaceDE w:val="0"/>
        <w:autoSpaceDN w:val="0"/>
        <w:adjustRightInd w:val="0"/>
        <w:ind w:firstLine="0"/>
        <w:jc w:val="center"/>
        <w:rPr>
          <w:rFonts w:ascii="Garamond" w:hAnsi="Garamond"/>
          <w:sz w:val="20"/>
          <w:szCs w:val="20"/>
          <w:lang w:val="en-US"/>
        </w:rPr>
      </w:pPr>
    </w:p>
    <w:p w14:paraId="41D789E6" w14:textId="6C398A84" w:rsidR="00AB1FB6" w:rsidRPr="00754EE0" w:rsidRDefault="00721A1D" w:rsidP="00AB1FB6">
      <w:pPr>
        <w:ind w:firstLine="0"/>
        <w:jc w:val="center"/>
        <w:rPr>
          <w:rFonts w:ascii="Garamond" w:hAnsi="Garamond"/>
          <w:sz w:val="20"/>
          <w:szCs w:val="20"/>
          <w:u w:val="single"/>
          <w:lang w:val="en-US"/>
        </w:rPr>
      </w:pPr>
      <w:r w:rsidRPr="00754EE0">
        <w:rPr>
          <w:rFonts w:ascii="Garamond" w:hAnsi="Garamond"/>
          <w:sz w:val="20"/>
          <w:szCs w:val="20"/>
          <w:lang w:val="en-US"/>
        </w:rPr>
        <w:t>*</w:t>
      </w:r>
      <w:r w:rsidR="00A06BB8" w:rsidRPr="00754EE0">
        <w:rPr>
          <w:rFonts w:ascii="Garamond" w:hAnsi="Garamond"/>
          <w:sz w:val="20"/>
          <w:szCs w:val="20"/>
          <w:lang w:val="en-US"/>
        </w:rPr>
        <w:t>Koresponden</w:t>
      </w:r>
      <w:r w:rsidR="00F35B3D">
        <w:rPr>
          <w:rFonts w:ascii="Garamond" w:hAnsi="Garamond"/>
          <w:sz w:val="20"/>
          <w:szCs w:val="20"/>
          <w:lang w:val="en-US"/>
        </w:rPr>
        <w:t>:</w:t>
      </w:r>
      <w:r w:rsidR="00A06BB8" w:rsidRPr="00754EE0">
        <w:rPr>
          <w:rFonts w:ascii="Garamond" w:hAnsi="Garamond"/>
          <w:sz w:val="20"/>
          <w:szCs w:val="20"/>
          <w:lang w:val="en-US"/>
        </w:rPr>
        <w:t xml:space="preserve"> </w:t>
      </w:r>
      <w:r w:rsidR="00E66344" w:rsidRPr="00E66344">
        <w:rPr>
          <w:rFonts w:ascii="Garamond" w:hAnsi="Garamond"/>
          <w:sz w:val="20"/>
          <w:szCs w:val="20"/>
          <w:lang w:val="en-US"/>
        </w:rPr>
        <w:t>firemangms@gmail.com</w:t>
      </w:r>
    </w:p>
    <w:p w14:paraId="04D20EAE" w14:textId="77777777" w:rsidR="00AB1FB6" w:rsidRPr="00AB1FB6" w:rsidRDefault="00AB1FB6" w:rsidP="00AB1FB6">
      <w:pPr>
        <w:ind w:firstLine="0"/>
        <w:rPr>
          <w:sz w:val="20"/>
          <w:szCs w:val="20"/>
          <w:lang w:val="en-US"/>
        </w:rPr>
      </w:pP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AB1FB6">
        <w:trPr>
          <w:trHeight w:val="5407"/>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r w:rsidRPr="00754EE0">
              <w:rPr>
                <w:rFonts w:ascii="Garamond" w:hAnsi="Garamond"/>
                <w:b/>
                <w:sz w:val="24"/>
                <w:lang w:val="en-US"/>
              </w:rPr>
              <w:t>Abstrak</w:t>
            </w:r>
          </w:p>
          <w:p w14:paraId="09571871" w14:textId="77777777" w:rsidR="00AB1FB6" w:rsidRPr="00DA713F" w:rsidRDefault="00AB1FB6" w:rsidP="00AB1FB6">
            <w:pPr>
              <w:ind w:firstLine="0"/>
              <w:contextualSpacing/>
              <w:jc w:val="center"/>
              <w:rPr>
                <w:rFonts w:ascii="Garamond" w:hAnsi="Garamond"/>
                <w:szCs w:val="22"/>
                <w:lang w:val="en-US"/>
              </w:rPr>
            </w:pPr>
          </w:p>
          <w:p w14:paraId="63449325" w14:textId="486251EE" w:rsidR="00AB1FB6" w:rsidRDefault="00DA713F" w:rsidP="00DA713F">
            <w:pPr>
              <w:ind w:firstLine="0"/>
              <w:rPr>
                <w:rFonts w:ascii="Garamond" w:hAnsi="Garamond"/>
                <w:szCs w:val="22"/>
                <w:lang w:val="en-US"/>
              </w:rPr>
            </w:pPr>
            <w:r w:rsidRPr="00DA713F">
              <w:rPr>
                <w:rFonts w:ascii="Garamond" w:hAnsi="Garamond"/>
                <w:szCs w:val="22"/>
                <w:lang w:val="en-US"/>
              </w:rPr>
              <w:t>I</w:t>
            </w:r>
            <w:r w:rsidRPr="00DA713F">
              <w:rPr>
                <w:rFonts w:ascii="Garamond" w:hAnsi="Garamond"/>
                <w:szCs w:val="22"/>
              </w:rPr>
              <w:t>lmu fisika memegang peranan penting dalam menentukan kondisi lingkungan yang sesuai untuk pertumbuhan dan perkembangan</w:t>
            </w:r>
            <w:r w:rsidRPr="00DA713F">
              <w:rPr>
                <w:rFonts w:ascii="Garamond" w:hAnsi="Garamond"/>
                <w:szCs w:val="22"/>
                <w:lang w:val="en-US"/>
              </w:rPr>
              <w:t xml:space="preserve"> akuakultur. M</w:t>
            </w:r>
            <w:r w:rsidRPr="00DA713F">
              <w:rPr>
                <w:rFonts w:ascii="Garamond" w:hAnsi="Garamond"/>
                <w:szCs w:val="22"/>
              </w:rPr>
              <w:t>embantu menentukan besarnya debit air yang masuk dan keluar dari kolam, seberapa cepat suhu air naik atau turun, serta bagaimana cara menjaga kestabilan kimiawi dari air</w:t>
            </w:r>
            <w:r w:rsidRPr="00DA713F">
              <w:rPr>
                <w:rFonts w:ascii="Garamond" w:hAnsi="Garamond"/>
                <w:szCs w:val="22"/>
                <w:lang w:val="en-US"/>
              </w:rPr>
              <w:t>. A</w:t>
            </w:r>
            <w:r w:rsidRPr="00DA713F">
              <w:rPr>
                <w:rFonts w:ascii="Garamond" w:hAnsi="Garamond"/>
                <w:szCs w:val="22"/>
                <w:lang w:val="en-US"/>
              </w:rPr>
              <w:t>nalisis perencanaan dalam pengelolaan budidaya</w:t>
            </w:r>
            <w:r w:rsidRPr="00DA713F">
              <w:rPr>
                <w:rFonts w:ascii="Garamond" w:hAnsi="Garamond"/>
                <w:szCs w:val="22"/>
                <w:lang w:val="en-US"/>
              </w:rPr>
              <w:t xml:space="preserve"> penting dilakukan</w:t>
            </w:r>
            <w:r w:rsidRPr="00DA713F">
              <w:rPr>
                <w:rFonts w:ascii="Garamond" w:hAnsi="Garamond"/>
                <w:szCs w:val="22"/>
                <w:lang w:val="en-US"/>
              </w:rPr>
              <w:t>, sesuai peraturan menteri lingkungan hidup no.51 tentang baku mutu air laut</w:t>
            </w:r>
            <w:r w:rsidRPr="00DA713F">
              <w:rPr>
                <w:rFonts w:ascii="Garamond" w:hAnsi="Garamond"/>
                <w:szCs w:val="22"/>
                <w:lang w:val="en-US"/>
              </w:rPr>
              <w:t>. A</w:t>
            </w:r>
            <w:r w:rsidRPr="00DA713F">
              <w:rPr>
                <w:rFonts w:ascii="Garamond" w:hAnsi="Garamond"/>
                <w:szCs w:val="22"/>
                <w:lang w:val="en-US"/>
              </w:rPr>
              <w:t>pabila air tersebut pasang, akan mengalir secara otomatis dengan budidaya perikanan belum banyak diselidiki, namun kajian ini beranggap penting karena dalam peraturan menteri, belum tersedia, padahal baku mutu sangat penting dalam perencanaan dan pengelolaan tambak sebagai bagian tak terpisahkan dalam pembangunan ekonomi masyarakat pesisir</w:t>
            </w:r>
            <w:r w:rsidRPr="00DA713F">
              <w:rPr>
                <w:rFonts w:ascii="Garamond" w:hAnsi="Garamond"/>
                <w:szCs w:val="22"/>
                <w:lang w:val="en-US"/>
              </w:rPr>
              <w:t>. Dibutuhkan kajian fisika dalam pengelolaan tambak di negeri ini.</w:t>
            </w:r>
          </w:p>
          <w:p w14:paraId="7EEE012E" w14:textId="77777777" w:rsidR="00DA713F" w:rsidRPr="00DA713F" w:rsidRDefault="00DA713F" w:rsidP="00DA713F">
            <w:pPr>
              <w:ind w:firstLine="0"/>
              <w:rPr>
                <w:rFonts w:ascii="Garamond" w:hAnsi="Garamond"/>
                <w:szCs w:val="22"/>
                <w:lang w:val="en-US"/>
              </w:rPr>
            </w:pPr>
          </w:p>
          <w:p w14:paraId="58CDF125" w14:textId="7CA60D03" w:rsidR="00AB1FB6" w:rsidRPr="00DA713F" w:rsidRDefault="000E0E3E" w:rsidP="00AB1FB6">
            <w:pPr>
              <w:ind w:firstLine="0"/>
              <w:contextualSpacing/>
              <w:rPr>
                <w:rFonts w:ascii="Garamond" w:hAnsi="Garamond"/>
                <w:b/>
                <w:szCs w:val="22"/>
                <w:lang w:val="en-US"/>
              </w:rPr>
            </w:pPr>
            <w:r w:rsidRPr="00DA713F">
              <w:rPr>
                <w:rFonts w:ascii="Garamond" w:hAnsi="Garamond"/>
                <w:b/>
                <w:szCs w:val="22"/>
                <w:lang w:val="en-US"/>
              </w:rPr>
              <w:t>Kata kunci</w:t>
            </w:r>
            <w:r w:rsidR="00AB1FB6" w:rsidRPr="00DA713F">
              <w:rPr>
                <w:rFonts w:ascii="Garamond" w:hAnsi="Garamond"/>
                <w:szCs w:val="22"/>
                <w:lang w:val="en-US"/>
              </w:rPr>
              <w:t xml:space="preserve">: </w:t>
            </w:r>
            <w:r w:rsidR="00DA713F" w:rsidRPr="00DA713F">
              <w:rPr>
                <w:rFonts w:ascii="Garamond" w:hAnsi="Garamond"/>
                <w:szCs w:val="22"/>
                <w:lang w:val="en-US"/>
              </w:rPr>
              <w:t>Fisika</w:t>
            </w:r>
            <w:r w:rsidR="00AB1FB6" w:rsidRPr="00DA713F">
              <w:rPr>
                <w:rFonts w:ascii="Garamond" w:hAnsi="Garamond"/>
                <w:szCs w:val="22"/>
                <w:lang w:val="en-US"/>
              </w:rPr>
              <w:t xml:space="preserve">, </w:t>
            </w:r>
            <w:r w:rsidR="00DA713F" w:rsidRPr="00DA713F">
              <w:rPr>
                <w:rFonts w:ascii="Garamond" w:hAnsi="Garamond"/>
                <w:szCs w:val="22"/>
                <w:lang w:val="en-US"/>
              </w:rPr>
              <w:t>Akuakultur, Budidaya berkelanjutan</w:t>
            </w:r>
          </w:p>
          <w:p w14:paraId="6FA8F832" w14:textId="77777777" w:rsidR="00AB1FB6" w:rsidRPr="0082788D" w:rsidRDefault="00AB1FB6" w:rsidP="003B0AEE">
            <w:pPr>
              <w:ind w:firstLine="0"/>
              <w:contextualSpacing/>
              <w:rPr>
                <w:b/>
                <w:szCs w:val="22"/>
                <w:lang w:val="en-US"/>
              </w:rPr>
            </w:pPr>
            <w:bookmarkStart w:id="0" w:name="_GoBack"/>
            <w:bookmarkEnd w:id="0"/>
          </w:p>
          <w:p w14:paraId="40469B9D" w14:textId="77777777"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p>
          <w:p w14:paraId="6FCC9CD7" w14:textId="77777777" w:rsidR="00AB1FB6" w:rsidRPr="0082788D" w:rsidRDefault="00AB1FB6" w:rsidP="00AB1FB6">
            <w:pPr>
              <w:ind w:firstLine="0"/>
              <w:rPr>
                <w:rFonts w:eastAsia="Times New Roman"/>
                <w:szCs w:val="22"/>
                <w:lang w:val="en-US"/>
              </w:rPr>
            </w:pPr>
          </w:p>
          <w:p w14:paraId="5032E9FA" w14:textId="77777777" w:rsidR="00DA713F" w:rsidRPr="00DA713F" w:rsidRDefault="00DA713F" w:rsidP="00DA713F">
            <w:pPr>
              <w:ind w:firstLine="0"/>
              <w:rPr>
                <w:rFonts w:ascii="Garamond" w:eastAsia="Times New Roman" w:hAnsi="Garamond"/>
                <w:szCs w:val="22"/>
                <w:lang w:val="en-US"/>
              </w:rPr>
            </w:pPr>
            <w:r w:rsidRPr="00DA713F">
              <w:rPr>
                <w:rFonts w:ascii="Garamond" w:eastAsia="Times New Roman" w:hAnsi="Garamond"/>
                <w:szCs w:val="22"/>
                <w:lang w:val="en-US"/>
              </w:rPr>
              <w:t xml:space="preserve">Physics plays an important role in determining environmental conditions suitable for aquaculture's growth and development. Helps determine the amount of water flowing in and out of </w:t>
            </w:r>
            <w:proofErr w:type="gramStart"/>
            <w:r w:rsidRPr="00DA713F">
              <w:rPr>
                <w:rFonts w:ascii="Garamond" w:eastAsia="Times New Roman" w:hAnsi="Garamond"/>
                <w:szCs w:val="22"/>
                <w:lang w:val="en-US"/>
              </w:rPr>
              <w:t>the pool, how quickly the water temperature rises or falls, and how to maintain the chemical stability of the water</w:t>
            </w:r>
            <w:proofErr w:type="gramEnd"/>
            <w:r w:rsidRPr="00DA713F">
              <w:rPr>
                <w:rFonts w:ascii="Garamond" w:eastAsia="Times New Roman" w:hAnsi="Garamond"/>
                <w:szCs w:val="22"/>
                <w:lang w:val="en-US"/>
              </w:rPr>
              <w:t xml:space="preserve">. It is important to carry out planning analysis in aquaculture management in accordance with the Minister of Environment Regulation No. 51 concerning seawater quality standards. If the water is high tide, it will flow automatically with aquaculture. It has not been widely investigated, but this study </w:t>
            </w:r>
            <w:proofErr w:type="gramStart"/>
            <w:r w:rsidRPr="00DA713F">
              <w:rPr>
                <w:rFonts w:ascii="Garamond" w:eastAsia="Times New Roman" w:hAnsi="Garamond"/>
                <w:szCs w:val="22"/>
                <w:lang w:val="en-US"/>
              </w:rPr>
              <w:t>is considered</w:t>
            </w:r>
            <w:proofErr w:type="gramEnd"/>
            <w:r w:rsidRPr="00DA713F">
              <w:rPr>
                <w:rFonts w:ascii="Garamond" w:eastAsia="Times New Roman" w:hAnsi="Garamond"/>
                <w:szCs w:val="22"/>
                <w:lang w:val="en-US"/>
              </w:rPr>
              <w:t xml:space="preserve"> important because it has yet to be available in ministerial regulations, even though quality standards are very important in planning and managing ponds as an integral part of the economic development of coastal communities. Physics studies </w:t>
            </w:r>
            <w:proofErr w:type="gramStart"/>
            <w:r w:rsidRPr="00DA713F">
              <w:rPr>
                <w:rFonts w:ascii="Garamond" w:eastAsia="Times New Roman" w:hAnsi="Garamond"/>
                <w:szCs w:val="22"/>
                <w:lang w:val="en-US"/>
              </w:rPr>
              <w:t>are needed</w:t>
            </w:r>
            <w:proofErr w:type="gramEnd"/>
            <w:r w:rsidRPr="00DA713F">
              <w:rPr>
                <w:rFonts w:ascii="Garamond" w:eastAsia="Times New Roman" w:hAnsi="Garamond"/>
                <w:szCs w:val="22"/>
                <w:lang w:val="en-US"/>
              </w:rPr>
              <w:t xml:space="preserve"> in pond management in this country.</w:t>
            </w:r>
          </w:p>
          <w:p w14:paraId="3EDAE710" w14:textId="77777777" w:rsidR="00DA713F" w:rsidRDefault="00DA713F" w:rsidP="00DA713F">
            <w:pPr>
              <w:ind w:firstLine="0"/>
              <w:rPr>
                <w:rFonts w:ascii="Garamond" w:eastAsia="Times New Roman" w:hAnsi="Garamond"/>
                <w:szCs w:val="22"/>
                <w:lang w:val="en-US"/>
              </w:rPr>
            </w:pPr>
          </w:p>
          <w:p w14:paraId="1E7C177A" w14:textId="21C7777E" w:rsidR="00AB1FB6" w:rsidRPr="00DA713F" w:rsidRDefault="00DA713F" w:rsidP="003B0AEE">
            <w:pPr>
              <w:ind w:firstLine="0"/>
              <w:rPr>
                <w:szCs w:val="22"/>
                <w:lang w:val="en-US"/>
              </w:rPr>
            </w:pPr>
            <w:r w:rsidRPr="00DA713F">
              <w:rPr>
                <w:rFonts w:ascii="Garamond" w:eastAsia="Times New Roman" w:hAnsi="Garamond"/>
                <w:b/>
                <w:szCs w:val="22"/>
                <w:lang w:val="en-US"/>
              </w:rPr>
              <w:t>Keywords</w:t>
            </w:r>
            <w:r w:rsidRPr="00DA713F">
              <w:rPr>
                <w:rFonts w:ascii="Garamond" w:eastAsia="Times New Roman" w:hAnsi="Garamond"/>
                <w:szCs w:val="22"/>
                <w:lang w:val="en-US"/>
              </w:rPr>
              <w:t>: Physics, Aquaculture, Sustainable cultivation</w:t>
            </w:r>
          </w:p>
        </w:tc>
      </w:tr>
    </w:tbl>
    <w:p w14:paraId="43CCE525" w14:textId="77777777" w:rsidR="00F1670D" w:rsidRPr="00715728" w:rsidRDefault="00F1670D" w:rsidP="00953361">
      <w:pPr>
        <w:ind w:firstLine="0"/>
        <w:rPr>
          <w:lang w:val="en-US"/>
        </w:rPr>
      </w:pPr>
    </w:p>
    <w:p w14:paraId="267F8DE4" w14:textId="77777777" w:rsidR="00F1670D" w:rsidRPr="00715728" w:rsidRDefault="00F1670D" w:rsidP="00F1670D">
      <w:pPr>
        <w:pStyle w:val="ListParagraph"/>
        <w:numPr>
          <w:ilvl w:val="0"/>
          <w:numId w:val="1"/>
        </w:numPr>
        <w:rPr>
          <w:b/>
          <w:smallCaps/>
          <w:sz w:val="28"/>
          <w:szCs w:val="28"/>
          <w:lang w:val="en-US"/>
        </w:rPr>
        <w:sectPr w:rsidR="00F1670D" w:rsidRPr="00715728" w:rsidSect="003B0AEE">
          <w:headerReference w:type="even" r:id="rId8"/>
          <w:headerReference w:type="default" r:id="rId9"/>
          <w:footerReference w:type="default" r:id="rId10"/>
          <w:headerReference w:type="first" r:id="rId11"/>
          <w:footerReference w:type="first" r:id="rId12"/>
          <w:pgSz w:w="11907" w:h="16840" w:code="9"/>
          <w:pgMar w:top="1701" w:right="1418" w:bottom="1418" w:left="1701" w:header="737" w:footer="737" w:gutter="0"/>
          <w:cols w:space="720"/>
          <w:titlePg/>
          <w:docGrid w:linePitch="360"/>
        </w:sectPr>
      </w:pPr>
    </w:p>
    <w:p w14:paraId="06732851" w14:textId="77777777" w:rsidR="00F1670D" w:rsidRPr="00754EE0" w:rsidRDefault="000E0E3E" w:rsidP="001E32D4">
      <w:pPr>
        <w:pStyle w:val="Heading1"/>
        <w:numPr>
          <w:ilvl w:val="0"/>
          <w:numId w:val="0"/>
        </w:numPr>
        <w:ind w:left="454" w:hanging="454"/>
        <w:rPr>
          <w:rFonts w:ascii="Garamond" w:hAnsi="Garamond"/>
          <w:sz w:val="24"/>
          <w:szCs w:val="24"/>
          <w:lang w:val="en-US"/>
        </w:rPr>
      </w:pPr>
      <w:r w:rsidRPr="00754EE0">
        <w:rPr>
          <w:rFonts w:ascii="Garamond" w:hAnsi="Garamond"/>
          <w:sz w:val="24"/>
          <w:szCs w:val="24"/>
          <w:lang w:val="en-US"/>
        </w:rPr>
        <w:lastRenderedPageBreak/>
        <w:t>PENDAHULUAN</w:t>
      </w:r>
    </w:p>
    <w:p w14:paraId="0ADE5FA8" w14:textId="77777777" w:rsidR="001E32D4" w:rsidRPr="00754EE0" w:rsidRDefault="001E32D4" w:rsidP="001E32D4">
      <w:pPr>
        <w:rPr>
          <w:rFonts w:ascii="Garamond" w:hAnsi="Garamond"/>
          <w:lang w:val="en-US"/>
        </w:rPr>
      </w:pPr>
    </w:p>
    <w:p w14:paraId="047B3F79" w14:textId="0A80AD1C" w:rsidR="00E66344" w:rsidRPr="00E66344" w:rsidRDefault="00E66344" w:rsidP="00E66344">
      <w:pPr>
        <w:pStyle w:val="Textbody"/>
        <w:jc w:val="both"/>
        <w:rPr>
          <w:rFonts w:ascii="Garamond" w:hAnsi="Garamond"/>
        </w:rPr>
      </w:pPr>
      <w:r w:rsidRPr="00E66344">
        <w:rPr>
          <w:rFonts w:ascii="Garamond" w:hAnsi="Garamond"/>
        </w:rPr>
        <w:t>Akuakultur merupakan salah satu cabang ilmu yang mempelajari tentang budidaya ikan, udang, dan hewan laut lainnya di dalam akuarium atau kolam yang dibuat khusus. Dalam akuakultur, ilmu fisika memegang peranan penting dalam menentukan kondisi lingkungan yang sesuai untuk pertumbuhan dan perkembangan hewan laut tersebut</w:t>
      </w:r>
      <w:r>
        <w:rPr>
          <w:rFonts w:ascii="Garamond" w:hAnsi="Garamond"/>
        </w:rPr>
        <w:fldChar w:fldCharType="begin" w:fldLock="1"/>
      </w:r>
      <w:r w:rsidR="0098547F">
        <w:rPr>
          <w:rFonts w:ascii="Garamond" w:hAnsi="Garamond"/>
        </w:rPr>
        <w:instrText>ADDIN CSL_CITATION {"citationItems":[{"id":"ITEM-1","itemData":{"DOI":"10.1108/IJCTHR-10-2018-0147","ISSN":"1750-6182","abstract":"Purpose This study aims to develop a framework to identify, categorise and prioritise the dimensions of service quality in theme parks in an Islamic cultural context.Design/methodology/approach An extensive literature review was conducted to identify service quality dimensions in theme parks in an Islamic cultural context, and a survey tool was used to explore visitors’ opinions of the most important dimensions and sub-dimensions. An analytic hierarchy process was used to prioritise the main criteria and sub-criteria of dimensions of theme park service quality in the United Arab Emirates (UAE). The study identified four main criteria and 24 sub-criteria of service quality for the theme park industry from an Islamic perspective.Findings Consumables quality and physical environment quality were the top priorities under the main criteria. Availability of halal food was the most important sub-criteria of service quality in theme parks in the UAE, followed by price of food and beverages and staff attitude and behaviour in equal second place, and then quality of food and beverages and quality of facilities, again with equal scores.Research limitations/implications The study focused on tourists visiting an emerging country, and the results therefore cannot be generalised to other cultural contexts. This study has developed a comprehensive model of theme park service quality using a hierarchical method. This included both general and Islamic service quality dimensions. This study, therefore, contributes to the “Islamic tourism” literature by identifying the importance of Islamic attributes in evaluating service quality of theme parks in Islamic countries.Practical implications The outcome of the study will provide local and international theme parks with explicit ideas about the service quality dimensions that are important in an Islamic cultural context. This will help them to prioritise the critical service quality dimensions, and eventually contribute to the successful management of theme parks.Originality/value This study offers new insights into the dimensions of service quality of theme parks in an Islamic cultural context.","author":[{"dropping-particle":"","family":"Lamya","given":"Lari","non-dropping-particle":"","parse-names":false,"suffix":""},{"dropping-particle":"","family":"Fauzia","given":"Jabeen","non-dropping-particle":"","parse-names":false,"suffix":""},{"dropping-particle":"","family":"Shilpa","given":"Iyanna","non-dropping-particle":"","parse-names":false,"suffix":""}],"container-title":"International Journal of Culture, Tourism and Hospitality Research","id":"ITEM-1","issue":"2","issued":{"date-parts":[["2020","1","1"]]},"page":"225-237","publisher":"Emerald Publishing Limited","title":"Prioritising theme park service quality in Islamic contexts: an analytic hierarchy process approach","type":"article-journal","volume":"14"},"uris":["http://www.mendeley.com/documents/?uuid=ed074375-236f-4ff4-8526-11645af6ac62"]},{"id":"ITEM-2","itemData":{"DOI":"10.1088/1755-1315/950/1/012073","ISSN":"17551315","abstract":"The west beach coastal area of Banten province is very productive. Local governments use this area for various development activities, tourism in particular. This study aims to determine the tourism potential of the west coast of Banten Province based on the spatial pattern of land use by local regulations. Thus, the development of coastal tourism can develop in an integrated and sustainable manner. The research methodology used is literature study, interviews, field verification, spatial analysis (Arc-GIS), and policy analysis based on the Banten Province Spatial Plan. Based on policy analysis related to regional spatial planning in Banten Province, there are three strategic tourism areas on the west coast, including; (a) Sumur Beach corridor, (b) Pandeglang West Coast corridor (Carita-Cigeulis), and (c) Serang West Coast Corridor (Anyer-Cinangka). The West Coast Corridor of The criteria for the physical type of beach suitable for tourism activities is wide beaches, not rocky, freshwater, and far from the highway. The west coast corridor area these criteria is the Serang West Coast Corridor (Anyer-Cinangka), precisely at Anyer Beach and Anyer Kidul Beach.","author":[{"dropping-particle":"","family":"Wartono","given":"A.","non-dropping-particle":"","parse-names":false,"suffix":""},{"dropping-particle":"","family":"Muntasib","given":"E. K.S.H.","non-dropping-particle":"","parse-names":false,"suffix":""},{"dropping-particle":"","family":"Arifin","given":"H. S.","non-dropping-particle":"","parse-names":false,"suffix":""}],"container-title":"IOP Conference Series: Earth and Environmental Science","id":"ITEM-2","issue":"1","issued":{"date-parts":[["2022"]]},"title":"Tourism Potential in West Beach Coastal Area of Banten Province Based on Land Use Spatial Pattern","type":"article-journal","volume":"950"},"uris":["http://www.mendeley.com/documents/?uuid=c7f2a2d1-cc26-40f2-9f83-3753c191cf59"]}],"mendeley":{"formattedCitation":"(Lamya, Fauzia, &amp; Shilpa, 2020; Wartono, Muntasib, &amp; Arifin, 2022)","plainTextFormattedCitation":"(Lamya, Fauzia, &amp; Shilpa, 2020; Wartono, Muntasib, &amp; Arifin, 2022)","previouslyFormattedCitation":"[1], [2]"},"properties":{"noteIndex":0},"schema":"https://github.com/citation-style-language/schema/raw/master/csl-citation.json"}</w:instrText>
      </w:r>
      <w:r>
        <w:rPr>
          <w:rFonts w:ascii="Garamond" w:hAnsi="Garamond"/>
        </w:rPr>
        <w:fldChar w:fldCharType="separate"/>
      </w:r>
      <w:r w:rsidR="0098547F" w:rsidRPr="0098547F">
        <w:rPr>
          <w:rFonts w:ascii="Garamond" w:hAnsi="Garamond"/>
          <w:noProof/>
        </w:rPr>
        <w:t>(Lamya, Fauzia, &amp; Shilpa, 2020; Wartono, Muntasib, &amp; Arifin, 2022)</w:t>
      </w:r>
      <w:r>
        <w:rPr>
          <w:rFonts w:ascii="Garamond" w:hAnsi="Garamond"/>
        </w:rPr>
        <w:fldChar w:fldCharType="end"/>
      </w:r>
      <w:r w:rsidRPr="00E66344">
        <w:rPr>
          <w:rFonts w:ascii="Garamond" w:hAnsi="Garamond"/>
        </w:rPr>
        <w:t xml:space="preserve">. Contohnya, ilmu fisika membantu menentukan besarnya debit air yang masuk dan keluar dari kolam, seberapa cepat suhu air naik atau turun, serta bagaimana </w:t>
      </w:r>
      <w:proofErr w:type="gramStart"/>
      <w:r w:rsidRPr="00E66344">
        <w:rPr>
          <w:rFonts w:ascii="Garamond" w:hAnsi="Garamond"/>
        </w:rPr>
        <w:t>cara</w:t>
      </w:r>
      <w:proofErr w:type="gramEnd"/>
      <w:r w:rsidRPr="00E66344">
        <w:rPr>
          <w:rFonts w:ascii="Garamond" w:hAnsi="Garamond"/>
        </w:rPr>
        <w:t xml:space="preserve"> menjaga kestabilan kimiawi dari air. </w:t>
      </w:r>
    </w:p>
    <w:p w14:paraId="0D69DE29" w14:textId="77777777" w:rsidR="00E66344" w:rsidRPr="00E66344" w:rsidRDefault="00E66344" w:rsidP="00E66344">
      <w:pPr>
        <w:pStyle w:val="Textbody"/>
        <w:jc w:val="both"/>
        <w:rPr>
          <w:rFonts w:ascii="Garamond" w:hAnsi="Garamond"/>
        </w:rPr>
      </w:pPr>
      <w:r w:rsidRPr="00E66344">
        <w:rPr>
          <w:rFonts w:ascii="Garamond" w:hAnsi="Garamond"/>
        </w:rPr>
        <w:t xml:space="preserve">Selain itu, ilmu fisika juga dapat digunakan untuk mengukur kualitas air, seperti pH, </w:t>
      </w:r>
      <w:proofErr w:type="gramStart"/>
      <w:r w:rsidRPr="00E66344">
        <w:rPr>
          <w:rFonts w:ascii="Garamond" w:hAnsi="Garamond"/>
        </w:rPr>
        <w:t>kadar</w:t>
      </w:r>
      <w:proofErr w:type="gramEnd"/>
      <w:r w:rsidRPr="00E66344">
        <w:rPr>
          <w:rFonts w:ascii="Garamond" w:hAnsi="Garamond"/>
        </w:rPr>
        <w:t xml:space="preserve"> oksigen, dan kandungan nutrient lainnya yang diperlukan oleh hewan laut. Dengan menggunakan prinsip-prinsip fisika, para ahli akuakultur dapat menciptakan lingkungan yang nyaman bagi hewan laut yang dibudidaya, sehingga dapat tumbuh dan berkembang dengan baik</w:t>
      </w:r>
    </w:p>
    <w:p w14:paraId="39578ECD" w14:textId="77777777" w:rsidR="00E66344" w:rsidRPr="00E66344" w:rsidRDefault="00E66344" w:rsidP="00E66344">
      <w:pPr>
        <w:pStyle w:val="Textbody"/>
        <w:jc w:val="both"/>
        <w:rPr>
          <w:rFonts w:ascii="Garamond" w:hAnsi="Garamond"/>
        </w:rPr>
      </w:pPr>
      <w:r w:rsidRPr="00E66344">
        <w:rPr>
          <w:rFonts w:ascii="Garamond" w:hAnsi="Garamond"/>
        </w:rPr>
        <w:lastRenderedPageBreak/>
        <w:t>Keterkaitan fisika dengan akuakultur</w:t>
      </w:r>
    </w:p>
    <w:p w14:paraId="6F0E2EC1" w14:textId="472B9FA2" w:rsidR="00E66344" w:rsidRPr="00E66344" w:rsidRDefault="00E66344" w:rsidP="00E66344">
      <w:pPr>
        <w:pStyle w:val="Textbody"/>
        <w:jc w:val="both"/>
        <w:rPr>
          <w:rFonts w:ascii="Garamond" w:hAnsi="Garamond"/>
        </w:rPr>
      </w:pPr>
      <w:r>
        <w:rPr>
          <w:rFonts w:ascii="Garamond" w:hAnsi="Garamond"/>
        </w:rPr>
        <w:fldChar w:fldCharType="begin" w:fldLock="1"/>
      </w:r>
      <w:r w:rsidR="0098547F">
        <w:rPr>
          <w:rFonts w:ascii="Garamond" w:hAnsi="Garamond"/>
        </w:rPr>
        <w:instrText>ADDIN CSL_CITATION {"citationItems":[{"id":"ITEM-1","itemData":{"author":[{"dropping-particle":"","family":"Macale","given":"Aldrin M B","non-dropping-particle":"","parse-names":false,"suffix":""},{"dropping-particle":"","family":"Nieves","given":"Plutomeo M","non-dropping-particle":"","parse-names":false,"suffix":""}],"container-title":"AACL Bioflux","id":"ITEM-1","issue":"2","issued":{"date-parts":[["2019"]]},"page":"2017-2020","title":"Stakeholders ’ perception on the s tatus of blue swimming crabs Portunus pelagicus ( Linnaeus , 1758 ) and performance of lying-in hatchery concept in San Miguel Bay , Philippines","type":"article-journal","volume":"12"},"uris":["http://www.mendeley.com/documents/?uuid=180cc9db-6931-4616-b643-2fba5a8f7b09"]},{"id":"ITEM-2","itemData":{"DOI":"10.1016/j.jclepro.2023.138535","ISSN":"09596526","abstract":"Achieving blue transition-sustainable fishery development has become one of the most important concerns for China's blue economy. Blue transition is defined as the transition from fish biomass reduction to biomass recovery of exploited fishery resources through the development of alternative seafood production from aquaculture. Our study examines the “blue transition” between marine fisheries captures and aquaculture production in China and probes the future development trends of China's fisheries under socioeconomic drivers. The results indicate that the resource displacement of the blue transition is not currently underway in China. It predicts a future decline in China's fish production after around 2030, while marine aquaculture products will remain a major component of fish production in the future. Our study adopts an integrated methodology to assess the critical timing of China's blue transition for the first time, and predicts future trends in marine capture fisheries transitions, which can provide recommendations for sustainable transition pathways to achieve SDG14.","author":[{"dropping-particle":"","family":"Zhao","given":"Youzhu","non-dropping-particle":"","parse-names":false,"suffix":""},{"dropping-particle":"","family":"Li","given":"Yangfan","non-dropping-particle":"","parse-names":false,"suffix":""}],"container-title":"Journal of Cleaner Production","id":"ITEM-2","issue":"June","issued":{"date-parts":[["2023"]]},"page":"138535","publisher":"Elsevier Ltd","title":"Blue transition for sustainable marine fisheries: Critical drivers and evidence from China","type":"article-journal","volume":"421"},"uris":["http://www.mendeley.com/documents/?uuid=d291306e-c9d0-43ec-9d64-1831cc4715f7"]}],"mendeley":{"formattedCitation":"(Macale &amp; Nieves, 2019; Zhao &amp; Li, 2023)","plainTextFormattedCitation":"(Macale &amp; Nieves, 2019; Zhao &amp; Li, 2023)","previouslyFormattedCitation":"[3], [4]"},"properties":{"noteIndex":0},"schema":"https://github.com/citation-style-language/schema/raw/master/csl-citation.json"}</w:instrText>
      </w:r>
      <w:r>
        <w:rPr>
          <w:rFonts w:ascii="Garamond" w:hAnsi="Garamond"/>
        </w:rPr>
        <w:fldChar w:fldCharType="separate"/>
      </w:r>
      <w:r w:rsidR="0098547F" w:rsidRPr="0098547F">
        <w:rPr>
          <w:rFonts w:ascii="Garamond" w:hAnsi="Garamond"/>
          <w:noProof/>
        </w:rPr>
        <w:t>(Macale &amp; Nieves, 2019; Zhao &amp; Li, 2023)</w:t>
      </w:r>
      <w:r>
        <w:rPr>
          <w:rFonts w:ascii="Garamond" w:hAnsi="Garamond"/>
        </w:rPr>
        <w:fldChar w:fldCharType="end"/>
      </w:r>
      <w:r w:rsidRPr="00E66344">
        <w:rPr>
          <w:rFonts w:ascii="Garamond" w:hAnsi="Garamond"/>
        </w:rPr>
        <w:t>Akuakultur tentu sangat berhubungan dengan air. Air memiliki sifat fisika uang sangat mempengaruhi kehidupan organisme didalamnya. Sifat fisika air merupakan parameter kualitas air, diantaranya</w:t>
      </w:r>
      <w:r>
        <w:rPr>
          <w:rFonts w:ascii="Garamond" w:hAnsi="Garamond"/>
        </w:rPr>
        <w:fldChar w:fldCharType="begin" w:fldLock="1"/>
      </w:r>
      <w:r w:rsidR="0098547F">
        <w:rPr>
          <w:rFonts w:ascii="Garamond" w:hAnsi="Garamond"/>
        </w:rPr>
        <w:instrText>ADDIN CSL_CITATION {"citationItems":[{"id":"ITEM-1","itemData":{"DOI":"10.25046/aj050230","ISSN":"24156698","abstract":"Demak is located on the north coast of Java, precisely in Central Java Province, Indonesia which has many problems related to erosion and shoreline degradation. This study attempts to analyze, identify, and select the materials to build eco-friendly permeable breakwater in Demak. The research was conducted during 2014, consist of several activities, i.e. identified the condition of breakwaters position, materials, and construction, did literature study of identification type breakwaters, study area, sediment, chemical reaction, then reverse design and modification for eco-friendly permeable breakwater. The result is a design of eco-friendly permeable breakwater which used a material of PVC pipe and Bamboo. PVC has excellent chemical resistance, also will increase sedimentation process and accelerate coastal changes towards the sea. Effectiveness level of breakwater made from combination of tire and PVC was 62%, and reveal to be more economical than other general-purpose plastics such as PE, PP, or PS.","author":[{"dropping-particle":"","family":"Sugianto","given":"Denny Nugroho","non-dropping-particle":"","parse-names":false,"suffix":""},{"dropping-particle":"","family":"Widada","given":"Sugeng","non-dropping-particle":"","parse-names":false,"suffix":""},{"dropping-particle":"","family":"Wirastriya","given":"Anindya","non-dropping-particle":"","parse-names":false,"suffix":""},{"dropping-particle":"","family":"Ismanto","given":"Aris","non-dropping-particle":"","parse-names":false,"suffix":""},{"dropping-particle":"","family":"Hartati","given":"Retno","non-dropping-particle":"","parse-names":false,"suffix":""},{"dropping-particle":"","family":"Widianingsih","given":"","non-dropping-particle":"","parse-names":false,"suffix":""},{"dropping-particle":"","family":"Indarjo","given":"Agus","non-dropping-particle":"","parse-names":false,"suffix":""},{"dropping-particle":"","family":"Suripin","given":"","non-dropping-particle":"","parse-names":false,"suffix":""}],"container-title":"Advances in Science, Technology and Engineering Systems","id":"ITEM-1","issue":"2","issued":{"date-parts":[["2020"]]},"page":"235-240","title":"A framework for plans permeable breakwater eco-friendly building identification and characteristics materials construction study case at Demak Village","type":"article-journal","volume":"5"},"uris":["http://www.mendeley.com/documents/?uuid=49fd81ec-b6f7-4069-88db-a869ae26b7e4"]}],"mendeley":{"formattedCitation":"(Sugianto et al., 2020)","plainTextFormattedCitation":"(Sugianto et al., 2020)","previouslyFormattedCitation":"[5]"},"properties":{"noteIndex":0},"schema":"https://github.com/citation-style-language/schema/raw/master/csl-citation.json"}</w:instrText>
      </w:r>
      <w:r>
        <w:rPr>
          <w:rFonts w:ascii="Garamond" w:hAnsi="Garamond"/>
        </w:rPr>
        <w:fldChar w:fldCharType="separate"/>
      </w:r>
      <w:r w:rsidR="0098547F" w:rsidRPr="0098547F">
        <w:rPr>
          <w:rFonts w:ascii="Garamond" w:hAnsi="Garamond"/>
          <w:noProof/>
        </w:rPr>
        <w:t>(Sugianto et al., 2020)</w:t>
      </w:r>
      <w:r>
        <w:rPr>
          <w:rFonts w:ascii="Garamond" w:hAnsi="Garamond"/>
        </w:rPr>
        <w:fldChar w:fldCharType="end"/>
      </w:r>
      <w:r w:rsidRPr="00E66344">
        <w:rPr>
          <w:rFonts w:ascii="Garamond" w:hAnsi="Garamond"/>
        </w:rPr>
        <w:t>:</w:t>
      </w:r>
    </w:p>
    <w:p w14:paraId="0E248B9E" w14:textId="600520F9" w:rsidR="00E66344" w:rsidRPr="00E66344" w:rsidRDefault="00E66344" w:rsidP="00E66344">
      <w:pPr>
        <w:pStyle w:val="Textbody"/>
        <w:numPr>
          <w:ilvl w:val="0"/>
          <w:numId w:val="12"/>
        </w:numPr>
        <w:jc w:val="both"/>
        <w:rPr>
          <w:rFonts w:ascii="Garamond" w:hAnsi="Garamond"/>
        </w:rPr>
      </w:pPr>
      <w:r w:rsidRPr="00E66344">
        <w:rPr>
          <w:rFonts w:ascii="Garamond" w:hAnsi="Garamond"/>
        </w:rPr>
        <w:t>Suhu</w:t>
      </w:r>
    </w:p>
    <w:p w14:paraId="2B0CD649" w14:textId="081E882B" w:rsidR="00E66344" w:rsidRPr="00E66344" w:rsidRDefault="00E66344" w:rsidP="00E66344">
      <w:pPr>
        <w:pStyle w:val="Textbody"/>
        <w:ind w:left="720"/>
        <w:jc w:val="both"/>
        <w:rPr>
          <w:rFonts w:ascii="Garamond" w:hAnsi="Garamond"/>
        </w:rPr>
      </w:pPr>
      <w:r w:rsidRPr="00E66344">
        <w:rPr>
          <w:rFonts w:ascii="Garamond" w:hAnsi="Garamond"/>
        </w:rPr>
        <w:t xml:space="preserve">Suhu adalah derajat yang digunakan untuk menyatakan panas dan dingin. Organisme perikanan sangat dipengaruhi oleh suhu, organisme air tidak bisa menerima perubahan suhu yang drastis diatas 5 derajat </w:t>
      </w:r>
      <w:proofErr w:type="gramStart"/>
      <w:r w:rsidRPr="00E66344">
        <w:rPr>
          <w:rFonts w:ascii="Garamond" w:hAnsi="Garamond"/>
        </w:rPr>
        <w:t>celsius</w:t>
      </w:r>
      <w:proofErr w:type="gramEnd"/>
      <w:r w:rsidRPr="00E66344">
        <w:rPr>
          <w:rFonts w:ascii="Garamond" w:hAnsi="Garamond"/>
        </w:rPr>
        <w:t>.</w:t>
      </w:r>
    </w:p>
    <w:p w14:paraId="2685769A" w14:textId="5331D804" w:rsidR="00E66344" w:rsidRPr="00E66344" w:rsidRDefault="00E66344" w:rsidP="00E66344">
      <w:pPr>
        <w:pStyle w:val="Textbody"/>
        <w:numPr>
          <w:ilvl w:val="0"/>
          <w:numId w:val="12"/>
        </w:numPr>
        <w:jc w:val="both"/>
        <w:rPr>
          <w:rFonts w:ascii="Garamond" w:hAnsi="Garamond"/>
        </w:rPr>
      </w:pPr>
      <w:r w:rsidRPr="00E66344">
        <w:rPr>
          <w:rFonts w:ascii="Garamond" w:hAnsi="Garamond"/>
        </w:rPr>
        <w:t>Kecerahan</w:t>
      </w:r>
    </w:p>
    <w:p w14:paraId="6923C1BE" w14:textId="650DA8B1" w:rsidR="00E66344" w:rsidRPr="00E66344" w:rsidRDefault="00E66344" w:rsidP="00E66344">
      <w:pPr>
        <w:pStyle w:val="Textbody"/>
        <w:ind w:left="720"/>
        <w:jc w:val="both"/>
        <w:rPr>
          <w:rFonts w:ascii="Garamond" w:hAnsi="Garamond"/>
        </w:rPr>
      </w:pPr>
      <w:r w:rsidRPr="00E66344">
        <w:rPr>
          <w:rFonts w:ascii="Garamond" w:hAnsi="Garamond"/>
        </w:rPr>
        <w:t xml:space="preserve">Kecerahan air bisa disebut dengan tranparansi perairan. Alat pengukur kecerahan menggunakan secchi disk dengan satuan meter. Kecerahan perairan digunakan untuk mengidentifikasi plankton dalam suatu perairan. </w:t>
      </w:r>
      <w:r w:rsidR="00D041E9">
        <w:rPr>
          <w:rFonts w:ascii="Garamond" w:hAnsi="Garamond"/>
        </w:rPr>
        <w:t>J</w:t>
      </w:r>
      <w:r w:rsidRPr="00E66344">
        <w:rPr>
          <w:rFonts w:ascii="Garamond" w:hAnsi="Garamond"/>
        </w:rPr>
        <w:t>umlah plankton juga dipengaruhi oleh intensitas cahaya matahari yang masuk.</w:t>
      </w:r>
    </w:p>
    <w:p w14:paraId="1BCC8106" w14:textId="3A38F5EF" w:rsidR="00E66344" w:rsidRPr="00E66344" w:rsidRDefault="00E66344" w:rsidP="00E66344">
      <w:pPr>
        <w:pStyle w:val="Textbody"/>
        <w:numPr>
          <w:ilvl w:val="0"/>
          <w:numId w:val="12"/>
        </w:numPr>
        <w:jc w:val="both"/>
        <w:rPr>
          <w:rFonts w:ascii="Garamond" w:hAnsi="Garamond"/>
        </w:rPr>
      </w:pPr>
      <w:r w:rsidRPr="00E66344">
        <w:rPr>
          <w:rFonts w:ascii="Garamond" w:hAnsi="Garamond"/>
        </w:rPr>
        <w:t>Bau</w:t>
      </w:r>
    </w:p>
    <w:p w14:paraId="0F7E8558" w14:textId="41822CB1" w:rsidR="00E66344" w:rsidRPr="00E66344" w:rsidRDefault="00E66344" w:rsidP="00E66344">
      <w:pPr>
        <w:pStyle w:val="Textbody"/>
        <w:ind w:left="720"/>
        <w:jc w:val="both"/>
        <w:rPr>
          <w:rFonts w:ascii="Garamond" w:hAnsi="Garamond"/>
        </w:rPr>
      </w:pPr>
      <w:r w:rsidRPr="00E66344">
        <w:rPr>
          <w:rFonts w:ascii="Garamond" w:hAnsi="Garamond"/>
        </w:rPr>
        <w:t>Bau atau amonia. Amonia bersifat toksin atau beracun bagi budidaya perikanan. Beberapa penyebab amonia muncul yaitu: pakan ikan yang tidak termakan oleh ikan, dan juga kotoran ikan.</w:t>
      </w:r>
    </w:p>
    <w:p w14:paraId="03CE435C" w14:textId="334FEB75" w:rsidR="00E66344" w:rsidRPr="00E66344" w:rsidRDefault="00E66344" w:rsidP="00E66344">
      <w:pPr>
        <w:pStyle w:val="Textbody"/>
        <w:numPr>
          <w:ilvl w:val="0"/>
          <w:numId w:val="12"/>
        </w:numPr>
        <w:jc w:val="both"/>
        <w:rPr>
          <w:rFonts w:ascii="Garamond" w:hAnsi="Garamond"/>
        </w:rPr>
      </w:pPr>
      <w:r w:rsidRPr="00E66344">
        <w:rPr>
          <w:rFonts w:ascii="Garamond" w:hAnsi="Garamond"/>
        </w:rPr>
        <w:t>Kekeruhan</w:t>
      </w:r>
    </w:p>
    <w:p w14:paraId="1AFAD15A" w14:textId="77777777" w:rsidR="00E66344" w:rsidRPr="00E66344" w:rsidRDefault="00E66344" w:rsidP="00E66344">
      <w:pPr>
        <w:pStyle w:val="Textbody"/>
        <w:ind w:left="720"/>
        <w:jc w:val="both"/>
        <w:rPr>
          <w:rFonts w:ascii="Garamond" w:hAnsi="Garamond"/>
        </w:rPr>
      </w:pPr>
      <w:r w:rsidRPr="00E66344">
        <w:rPr>
          <w:rFonts w:ascii="Garamond" w:hAnsi="Garamond"/>
        </w:rPr>
        <w:t>Kekeruhan merupakan sifat optik air oleh adanya bahan tersuspensi. Padatan yang tersuspensi antara lain, lumpur, tanah liat, koloid tanah dan organisme perairan (mikroorganisme). Padatan tersuspensi mengganggu intensitas cahaya matahari yang masuk, mengganggu terjadinya fotosintesis. Sehingga dapat membahayakan aktivitas budidaya perairan.</w:t>
      </w:r>
    </w:p>
    <w:p w14:paraId="233E34A0" w14:textId="2B076D44" w:rsidR="00E66344" w:rsidRPr="00E66344" w:rsidRDefault="00E66344" w:rsidP="00E66344">
      <w:pPr>
        <w:pStyle w:val="Textbody"/>
        <w:numPr>
          <w:ilvl w:val="0"/>
          <w:numId w:val="12"/>
        </w:numPr>
        <w:jc w:val="both"/>
        <w:rPr>
          <w:rFonts w:ascii="Garamond" w:hAnsi="Garamond"/>
        </w:rPr>
      </w:pPr>
      <w:r w:rsidRPr="00E66344">
        <w:rPr>
          <w:rFonts w:ascii="Garamond" w:hAnsi="Garamond"/>
        </w:rPr>
        <w:t>Salinitas</w:t>
      </w:r>
    </w:p>
    <w:p w14:paraId="510E6833" w14:textId="03E7A9CC" w:rsidR="00E66344" w:rsidRPr="00E66344" w:rsidRDefault="00E66344" w:rsidP="00E66344">
      <w:pPr>
        <w:pStyle w:val="Textbody"/>
        <w:ind w:left="720"/>
        <w:jc w:val="both"/>
        <w:rPr>
          <w:rFonts w:ascii="Garamond" w:hAnsi="Garamond"/>
        </w:rPr>
      </w:pPr>
      <w:r w:rsidRPr="00E66344">
        <w:rPr>
          <w:rFonts w:ascii="Garamond" w:hAnsi="Garamond"/>
        </w:rPr>
        <w:t>Salinitas dapat diartikan sebagai jumlah bahan padat yang terkandung dalam tiap kilogram air laut, Kadar salinitas di tiap perairan berbeda-beda disebakan karena adanya distribusi salinitas d</w:t>
      </w:r>
      <w:r w:rsidR="00D041E9">
        <w:rPr>
          <w:rFonts w:ascii="Garamond" w:hAnsi="Garamond"/>
        </w:rPr>
        <w:t>i laut. Berikut faktor utamanya</w:t>
      </w:r>
      <w:r w:rsidRPr="00E66344">
        <w:rPr>
          <w:rFonts w:ascii="Garamond" w:hAnsi="Garamond"/>
        </w:rPr>
        <w:t>:</w:t>
      </w:r>
    </w:p>
    <w:p w14:paraId="59EE261D" w14:textId="77777777" w:rsidR="00E66344" w:rsidRPr="00E66344" w:rsidRDefault="00E66344" w:rsidP="00E66344">
      <w:pPr>
        <w:pStyle w:val="Textbody"/>
        <w:ind w:left="2268"/>
        <w:rPr>
          <w:rFonts w:ascii="Garamond" w:hAnsi="Garamond"/>
        </w:rPr>
      </w:pPr>
      <w:r w:rsidRPr="00E66344">
        <w:rPr>
          <w:rFonts w:ascii="Garamond" w:hAnsi="Garamond"/>
        </w:rPr>
        <w:t>1. Pola sirkulasi air</w:t>
      </w:r>
    </w:p>
    <w:p w14:paraId="20391475" w14:textId="77777777" w:rsidR="00E66344" w:rsidRPr="00E66344" w:rsidRDefault="00E66344" w:rsidP="00E66344">
      <w:pPr>
        <w:pStyle w:val="Textbody"/>
        <w:ind w:left="2268"/>
        <w:rPr>
          <w:rFonts w:ascii="Garamond" w:hAnsi="Garamond"/>
        </w:rPr>
      </w:pPr>
      <w:r w:rsidRPr="00E66344">
        <w:rPr>
          <w:rFonts w:ascii="Garamond" w:hAnsi="Garamond"/>
        </w:rPr>
        <w:t>2. Penguapan (Evaporasi)</w:t>
      </w:r>
    </w:p>
    <w:p w14:paraId="48D291E3" w14:textId="77777777" w:rsidR="00E66344" w:rsidRPr="00E66344" w:rsidRDefault="00E66344" w:rsidP="00E66344">
      <w:pPr>
        <w:pStyle w:val="Textbody"/>
        <w:ind w:left="2268"/>
        <w:rPr>
          <w:rFonts w:ascii="Garamond" w:hAnsi="Garamond"/>
        </w:rPr>
      </w:pPr>
      <w:r w:rsidRPr="00E66344">
        <w:rPr>
          <w:rFonts w:ascii="Garamond" w:hAnsi="Garamond"/>
        </w:rPr>
        <w:t>3. Curah Hujan (Presipitasi)</w:t>
      </w:r>
    </w:p>
    <w:p w14:paraId="513392F2" w14:textId="77777777" w:rsidR="00E66344" w:rsidRPr="00E66344" w:rsidRDefault="00E66344" w:rsidP="00E66344">
      <w:pPr>
        <w:pStyle w:val="Textbody"/>
        <w:ind w:left="2268"/>
        <w:rPr>
          <w:rFonts w:ascii="Garamond" w:hAnsi="Garamond"/>
        </w:rPr>
      </w:pPr>
      <w:r w:rsidRPr="00E66344">
        <w:rPr>
          <w:rFonts w:ascii="Garamond" w:hAnsi="Garamond"/>
        </w:rPr>
        <w:t>4. Aliran sungai di sekitar (</w:t>
      </w:r>
      <w:r w:rsidRPr="00D041E9">
        <w:rPr>
          <w:rFonts w:ascii="Garamond" w:hAnsi="Garamond"/>
          <w:i/>
        </w:rPr>
        <w:t>Run off</w:t>
      </w:r>
      <w:r w:rsidRPr="00E66344">
        <w:rPr>
          <w:rFonts w:ascii="Garamond" w:hAnsi="Garamond"/>
        </w:rPr>
        <w:t>)</w:t>
      </w:r>
    </w:p>
    <w:p w14:paraId="429933D1" w14:textId="77777777" w:rsidR="00E66344" w:rsidRPr="00E66344" w:rsidRDefault="00E66344" w:rsidP="00E66344">
      <w:pPr>
        <w:pStyle w:val="Textbody"/>
        <w:ind w:left="2268"/>
        <w:rPr>
          <w:rFonts w:ascii="Garamond" w:hAnsi="Garamond"/>
        </w:rPr>
      </w:pPr>
      <w:r w:rsidRPr="00E66344">
        <w:rPr>
          <w:rFonts w:ascii="Garamond" w:hAnsi="Garamond"/>
        </w:rPr>
        <w:t>6. Kedalaman</w:t>
      </w:r>
    </w:p>
    <w:p w14:paraId="0A65B3F8" w14:textId="6091A39E" w:rsidR="00E66344" w:rsidRPr="00E66344" w:rsidRDefault="00E66344" w:rsidP="00E66344">
      <w:pPr>
        <w:pStyle w:val="Textbody"/>
        <w:jc w:val="both"/>
        <w:rPr>
          <w:rFonts w:ascii="Garamond" w:hAnsi="Garamond"/>
        </w:rPr>
      </w:pPr>
      <w:r w:rsidRPr="00E66344">
        <w:rPr>
          <w:rFonts w:ascii="Garamond" w:hAnsi="Garamond"/>
        </w:rPr>
        <w:t xml:space="preserve">Kedalaman air berhubungan erat dengan produktivitas, suhu vertikal, kejadian cahaya, kepadatan, </w:t>
      </w:r>
      <w:proofErr w:type="gramStart"/>
      <w:r w:rsidRPr="00E66344">
        <w:rPr>
          <w:rFonts w:ascii="Garamond" w:hAnsi="Garamond"/>
        </w:rPr>
        <w:t>kadar</w:t>
      </w:r>
      <w:proofErr w:type="gramEnd"/>
      <w:r w:rsidRPr="00E66344">
        <w:rPr>
          <w:rFonts w:ascii="Garamond" w:hAnsi="Garamond"/>
        </w:rPr>
        <w:t xml:space="preserve"> oksigen dan nutrisi. Kedalaman air berhubungan erat dengan produktivitas, suhu vertikal, kejadian cahaya, kepadatan, </w:t>
      </w:r>
      <w:proofErr w:type="gramStart"/>
      <w:r w:rsidRPr="00E66344">
        <w:rPr>
          <w:rFonts w:ascii="Garamond" w:hAnsi="Garamond"/>
        </w:rPr>
        <w:t>kadar</w:t>
      </w:r>
      <w:proofErr w:type="gramEnd"/>
      <w:r w:rsidRPr="00E66344">
        <w:rPr>
          <w:rFonts w:ascii="Garamond" w:hAnsi="Garamond"/>
        </w:rPr>
        <w:t xml:space="preserve"> oksigen dan nutrisi. Kedalaman juga berperan penting dalam menentukan teknologi budidaya yang akan diterapkan di laut atau di air yang tergenang </w:t>
      </w:r>
      <w:r>
        <w:rPr>
          <w:rFonts w:ascii="Garamond" w:hAnsi="Garamond"/>
        </w:rPr>
        <w:fldChar w:fldCharType="begin" w:fldLock="1"/>
      </w:r>
      <w:r w:rsidR="0098547F">
        <w:rPr>
          <w:rFonts w:ascii="Garamond" w:hAnsi="Garamond"/>
        </w:rPr>
        <w:instrText>ADDIN CSL_CITATION {"citationItems":[{"id":"ITEM-1","itemData":{"ISSN":"2407-7690","author":[{"dropping-particle":"","family":"Fithor","given":"Alin","non-dropping-particle":"","parse-names":false,"suffix":""},{"dropping-particle":"","family":"Indarjo","given":"Agus","non-dropping-particle":"","parse-names":false,"suffix":""},{"dropping-particle":"","family":"Ario","given":"Raden","non-dropping-particle":"","parse-names":false,"suffix":""}],"container-title":"Diponegoro Journal of Marine Research","id":"ITEM-1","issue":"4","issued":{"date-parts":[["2013"]]},"page":"31-35","title":"Studi Kesesuaian Wisata Dan Mutu Air Laut Untuk Ekowisata Rekreasi Pantai Di Pantai Maron Kota Semarang","type":"article-journal","volume":"2"},"uris":["http://www.mendeley.com/documents/?uuid=c18af599-8c72-4a88-8732-0c149296a7b0"]},{"id":"ITEM-2","itemData":{"DOI":"10.1080/13676261.2019.1704408","ISSN":"13676261","author":[{"dropping-particle":"","family":"Wenham","given":"Aniela","non-dropping-particle":"","parse-names":false,"suffix":""}],"container-title":"Journal of Youth Studies","id":"ITEM-2","issue":"0","issued":{"date-parts":[["2019"]]},"page":"1-17","publisher":"Taylor &amp; Francis","title":"“ Wish you were here ”? Geographies of exclusion : young people , coastal towns and marginality","type":"article-journal","volume":"0"},"uris":["http://www.mendeley.com/documents/?uuid=8f4f6377-e702-4fad-bb00-d50ba7c318e9"]}],"mendeley":{"formattedCitation":"(Fithor, Indarjo, &amp; Ario, 2013; Wenham, 2019)","plainTextFormattedCitation":"(Fithor, Indarjo, &amp; Ario, 2013; Wenham, 2019)","previouslyFormattedCitation":"[6], [7]"},"properties":{"noteIndex":0},"schema":"https://github.com/citation-style-language/schema/raw/master/csl-citation.json"}</w:instrText>
      </w:r>
      <w:r>
        <w:rPr>
          <w:rFonts w:ascii="Garamond" w:hAnsi="Garamond"/>
        </w:rPr>
        <w:fldChar w:fldCharType="separate"/>
      </w:r>
      <w:r w:rsidR="0098547F" w:rsidRPr="0098547F">
        <w:rPr>
          <w:rFonts w:ascii="Garamond" w:hAnsi="Garamond"/>
          <w:noProof/>
        </w:rPr>
        <w:t>(Fithor, Indarjo, &amp; Ario, 2013; Wenham, 2019)</w:t>
      </w:r>
      <w:r>
        <w:rPr>
          <w:rFonts w:ascii="Garamond" w:hAnsi="Garamond"/>
        </w:rPr>
        <w:fldChar w:fldCharType="end"/>
      </w:r>
      <w:r w:rsidRPr="00E66344">
        <w:rPr>
          <w:rFonts w:ascii="Garamond" w:hAnsi="Garamond"/>
        </w:rPr>
        <w:t>.</w:t>
      </w:r>
    </w:p>
    <w:p w14:paraId="32B723FB" w14:textId="77777777" w:rsidR="00F1670D" w:rsidRPr="00EA748A" w:rsidRDefault="00F1670D" w:rsidP="001E32D4">
      <w:pPr>
        <w:ind w:firstLine="426"/>
        <w:rPr>
          <w:rFonts w:ascii="Garamond" w:eastAsia="Times New Roman" w:hAnsi="Garamond"/>
          <w:sz w:val="24"/>
          <w:lang w:val="en-US"/>
        </w:rPr>
      </w:pPr>
      <w:r w:rsidRPr="00EA748A">
        <w:rPr>
          <w:rFonts w:ascii="Garamond" w:eastAsia="Times New Roman" w:hAnsi="Garamond"/>
          <w:sz w:val="24"/>
          <w:lang w:val="en-US"/>
        </w:rPr>
        <w:t>.</w:t>
      </w: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77777777" w:rsidR="001E32D4" w:rsidRPr="00754EE0" w:rsidRDefault="001E32D4" w:rsidP="001E32D4">
      <w:pPr>
        <w:rPr>
          <w:rFonts w:ascii="Garamond" w:hAnsi="Garamond"/>
          <w:lang w:val="en-US"/>
        </w:rPr>
      </w:pPr>
    </w:p>
    <w:p w14:paraId="5233A5E2" w14:textId="51BA79EA" w:rsidR="009F32DC" w:rsidRPr="00EA748A" w:rsidRDefault="00E66344" w:rsidP="006D7093">
      <w:pPr>
        <w:ind w:firstLine="426"/>
        <w:rPr>
          <w:rFonts w:ascii="Garamond" w:hAnsi="Garamond"/>
          <w:sz w:val="24"/>
          <w:szCs w:val="28"/>
        </w:rPr>
      </w:pPr>
      <w:r>
        <w:rPr>
          <w:rFonts w:ascii="Garamond" w:hAnsi="Garamond"/>
          <w:sz w:val="24"/>
          <w:szCs w:val="28"/>
          <w:lang w:val="en-US"/>
        </w:rPr>
        <w:t xml:space="preserve">Membahas tentang kegunaan kajian fisika dalam rangka perencanaan pdan pembangunan kawasan budidaya perikanan. Hal ini penting karena fisika sebagai analisis perencanaan dalam </w:t>
      </w:r>
      <w:r>
        <w:rPr>
          <w:rFonts w:ascii="Garamond" w:hAnsi="Garamond"/>
          <w:sz w:val="24"/>
          <w:szCs w:val="28"/>
          <w:lang w:val="en-US"/>
        </w:rPr>
        <w:lastRenderedPageBreak/>
        <w:t>pengelolaan budidaya, sesuai peraturan menteri lingkungan hidup no.51 tentang baku mutu air laut, apabila air tersebut pasang, akan mengalir secara otomatis dengan budidaya tambak.</w:t>
      </w:r>
      <w:r>
        <w:rPr>
          <w:rFonts w:ascii="Garamond" w:hAnsi="Garamond"/>
          <w:sz w:val="24"/>
          <w:szCs w:val="28"/>
          <w:lang w:val="en-US"/>
        </w:rPr>
        <w:fldChar w:fldCharType="begin" w:fldLock="1"/>
      </w:r>
      <w:r w:rsidR="0098547F">
        <w:rPr>
          <w:rFonts w:ascii="Garamond" w:hAnsi="Garamond"/>
          <w:sz w:val="24"/>
          <w:szCs w:val="28"/>
          <w:lang w:val="en-US"/>
        </w:rPr>
        <w:instrText>ADDIN CSL_CITATION {"citationItems":[{"id":"ITEM-1","itemData":{"DOI":"10.15243/jdmlm.2021.091.3093","ISSN":"25022458","abstract":"Expansion of industrial areas, aquaculture, settlements, and limited knowledge of the community about the function of mangroves allegedly led to the conversion of mangrove functions in the early 1990s. This study aimed to map the condition of mangroves from 1988, 1990, 1995, 2008, to 2021 and their effect on the widespread of tidal flooding in three villages (Mangkang Kulon, Mangunharjo, Mangkang Wetan) in Tugu subdistrict, Semarang City. The research method was carried out by using spatiotemporal analysis of Landsat 5 and Landsat 8 imagery through the supervised approach (Maximum Likelihood algorithm). In order to map the correlation of mangrove damage with the widespread impact of tidal flooding, an overlay analysis of land use maps was carried out in 1988, 1990, 1995, 2008 and 2021. The results of the study showed that mangrove damage is correlated with the widespread of tidal flooding that drowns settlements, ponds, and agricultural land. Data analysis showed that the mangrove area in three villages has decreased from 1988 to 2021, covering an area of 242.66 ha. This condition is one of the triggers for the increase in tidal flooding area from 1988 to 2021, covering an area of 253.135 ha. As a natural barrier to prevent abrasion and tidal flooding, mangrove conservation is very necessary, considering the impact of tidal flooding on the coast of Semarang City is increasingly widespread.","author":[{"dropping-particle":"","family":"Utami","given":"Westi","non-dropping-particle":"","parse-names":false,"suffix":""},{"dropping-particle":"","family":"Wibowo","given":"Yuli Ardianto","non-dropping-particle":"","parse-names":false,"suffix":""},{"dropping-particle":"","family":"Hadi","given":"Ahmad Haris","non-dropping-particle":"","parse-names":false,"suffix":""},{"dropping-particle":"","family":"Permadi","given":"Fajar Buyung","non-dropping-particle":"","parse-names":false,"suffix":""}],"container-title":"Journal of Degraded and Mining Lands Management","id":"ITEM-1","issue":"1","issued":{"date-parts":[["2021"]]},"page":"3093-3105","title":"The impact of mangrove damage on tidal flooding in the subdistrict of Tugu, Semarang, Central Java","type":"article-journal","volume":"9"},"uris":["http://www.mendeley.com/documents/?uuid=13b05967-250e-4b9d-8d2c-7c04260f73a2"]}],"mendeley":{"formattedCitation":"(Utami, Wibowo, Hadi, &amp; Permadi, 2021)","plainTextFormattedCitation":"(Utami, Wibowo, Hadi, &amp; Permadi, 2021)","previouslyFormattedCitation":"[8]"},"properties":{"noteIndex":0},"schema":"https://github.com/citation-style-language/schema/raw/master/csl-citation.json"}</w:instrText>
      </w:r>
      <w:r>
        <w:rPr>
          <w:rFonts w:ascii="Garamond" w:hAnsi="Garamond"/>
          <w:sz w:val="24"/>
          <w:szCs w:val="28"/>
          <w:lang w:val="en-US"/>
        </w:rPr>
        <w:fldChar w:fldCharType="separate"/>
      </w:r>
      <w:r w:rsidR="0098547F" w:rsidRPr="0098547F">
        <w:rPr>
          <w:rFonts w:ascii="Garamond" w:hAnsi="Garamond"/>
          <w:noProof/>
          <w:sz w:val="24"/>
          <w:szCs w:val="28"/>
          <w:lang w:val="en-US"/>
        </w:rPr>
        <w:t>(Utami, Wibowo, Hadi, &amp; Permadi, 2021)</w:t>
      </w:r>
      <w:r>
        <w:rPr>
          <w:rFonts w:ascii="Garamond" w:hAnsi="Garamond"/>
          <w:sz w:val="24"/>
          <w:szCs w:val="28"/>
          <w:lang w:val="en-US"/>
        </w:rPr>
        <w:fldChar w:fldCharType="end"/>
      </w:r>
      <w:r>
        <w:rPr>
          <w:rFonts w:ascii="Garamond" w:hAnsi="Garamond"/>
          <w:sz w:val="24"/>
          <w:szCs w:val="28"/>
          <w:lang w:val="en-US"/>
        </w:rPr>
        <w:t>.</w:t>
      </w:r>
    </w:p>
    <w:p w14:paraId="226FA798" w14:textId="0F2B441F" w:rsidR="00F1670D" w:rsidRPr="00EA748A" w:rsidRDefault="00E66344" w:rsidP="001E32D4">
      <w:pPr>
        <w:ind w:firstLine="426"/>
        <w:rPr>
          <w:rFonts w:ascii="Garamond" w:hAnsi="Garamond"/>
          <w:sz w:val="24"/>
          <w:szCs w:val="28"/>
          <w:lang w:val="en-US"/>
        </w:rPr>
      </w:pPr>
      <w:r>
        <w:rPr>
          <w:rFonts w:ascii="Garamond" w:hAnsi="Garamond"/>
          <w:sz w:val="24"/>
          <w:szCs w:val="28"/>
          <w:lang w:val="en-US"/>
        </w:rPr>
        <w:t xml:space="preserve">Baku mutu tersebut hanya mewakili pelabuhan, wisata bahari, dan biota laut. Sedangkan untuk budidaya ini belum muncul aturan mainnya, maka dari itu penulis merasa perlu untuk </w:t>
      </w:r>
      <w:r w:rsidR="00D041E9">
        <w:rPr>
          <w:rFonts w:ascii="Garamond" w:hAnsi="Garamond"/>
          <w:sz w:val="24"/>
          <w:szCs w:val="28"/>
          <w:lang w:val="en-US"/>
        </w:rPr>
        <w:t>merekomendasikan hal ini</w:t>
      </w:r>
      <w:r w:rsidR="00BB7BCD" w:rsidRPr="00EA748A">
        <w:rPr>
          <w:rFonts w:ascii="Garamond" w:hAnsi="Garamond"/>
          <w:sz w:val="24"/>
          <w:szCs w:val="28"/>
          <w:lang w:val="en-US"/>
        </w:rPr>
        <w:t>.</w:t>
      </w:r>
    </w:p>
    <w:p w14:paraId="307D398D" w14:textId="77777777" w:rsidR="00F1670D" w:rsidRPr="00754EE0" w:rsidRDefault="00F1670D" w:rsidP="00F1670D">
      <w:pPr>
        <w:ind w:firstLine="0"/>
        <w:rPr>
          <w:rFonts w:ascii="Garamond" w:hAnsi="Garamond"/>
          <w:lang w:val="en-US"/>
        </w:rPr>
      </w:pPr>
    </w:p>
    <w:p w14:paraId="58FB060F" w14:textId="77777777" w:rsidR="00B27D56" w:rsidRPr="00EA748A" w:rsidRDefault="000E0E3E" w:rsidP="007B23F9">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31246017" w14:textId="77777777" w:rsidR="007B23F9" w:rsidRPr="00EA748A" w:rsidRDefault="007B23F9" w:rsidP="007B23F9">
      <w:pPr>
        <w:ind w:firstLine="0"/>
        <w:rPr>
          <w:rFonts w:ascii="Garamond" w:hAnsi="Garamond"/>
          <w:sz w:val="24"/>
          <w:szCs w:val="28"/>
          <w:lang w:val="en-US"/>
        </w:rPr>
      </w:pPr>
    </w:p>
    <w:p w14:paraId="2A905E06" w14:textId="0A383B4A" w:rsidR="00F1670D" w:rsidRPr="00EA748A" w:rsidRDefault="00D041E9" w:rsidP="00F1670D">
      <w:pPr>
        <w:ind w:firstLine="426"/>
        <w:rPr>
          <w:rFonts w:ascii="Garamond" w:hAnsi="Garamond"/>
          <w:sz w:val="24"/>
          <w:szCs w:val="28"/>
          <w:lang w:val="en-US"/>
        </w:rPr>
      </w:pPr>
      <w:r>
        <w:rPr>
          <w:rFonts w:ascii="Garamond" w:hAnsi="Garamond"/>
          <w:sz w:val="24"/>
          <w:szCs w:val="28"/>
          <w:lang w:val="en-US"/>
        </w:rPr>
        <w:t>Hasil diperoleh dari beberapa pengamatan di lapangan bahwa ada kajian fisika dalam perencanaan pembangunan tambak budidaya, hal ini sangat dibutuhkan dalam perencanaan dan pengelolaan pembangunan kawasan budidaya tambak. Seperti dijelaskan pada tabel berikut:</w:t>
      </w:r>
    </w:p>
    <w:p w14:paraId="7F73E74A" w14:textId="77777777" w:rsidR="00F1670D" w:rsidRPr="00754EE0" w:rsidRDefault="00F1670D" w:rsidP="00F1670D">
      <w:pPr>
        <w:rPr>
          <w:rFonts w:ascii="Garamond" w:hAnsi="Garamond"/>
          <w:lang w:val="en-US"/>
        </w:rPr>
      </w:pPr>
    </w:p>
    <w:p w14:paraId="1C7CFD4B" w14:textId="6CCEA302" w:rsidR="00F1670D" w:rsidRPr="00EA748A" w:rsidRDefault="00F1670D" w:rsidP="00D041E9">
      <w:pPr>
        <w:ind w:firstLine="0"/>
        <w:jc w:val="center"/>
        <w:rPr>
          <w:rFonts w:ascii="Garamond" w:hAnsi="Garamond"/>
          <w:szCs w:val="28"/>
          <w:lang w:val="en-US"/>
        </w:rPr>
      </w:pPr>
      <w:r w:rsidRPr="00EA748A">
        <w:rPr>
          <w:rFonts w:ascii="Garamond" w:hAnsi="Garamond"/>
          <w:b/>
          <w:szCs w:val="28"/>
          <w:lang w:val="en-US"/>
        </w:rPr>
        <w:t>Table 1.</w:t>
      </w:r>
      <w:r w:rsidR="0082788D" w:rsidRPr="00EA748A">
        <w:rPr>
          <w:rFonts w:ascii="Garamond" w:hAnsi="Garamond"/>
          <w:szCs w:val="28"/>
          <w:lang w:val="en-US"/>
        </w:rPr>
        <w:t xml:space="preserve"> </w:t>
      </w:r>
      <w:r w:rsidR="00D041E9">
        <w:rPr>
          <w:rFonts w:ascii="Garamond" w:hAnsi="Garamond"/>
          <w:szCs w:val="28"/>
          <w:lang w:val="en-US"/>
        </w:rPr>
        <w:t>Pemenuhan kebutuhan kajian fisika dalam tambak</w:t>
      </w:r>
    </w:p>
    <w:tbl>
      <w:tblPr>
        <w:tblW w:w="5446" w:type="dxa"/>
        <w:jc w:val="center"/>
        <w:tblBorders>
          <w:top w:val="single" w:sz="4" w:space="0" w:color="auto"/>
          <w:bottom w:val="single" w:sz="4" w:space="0" w:color="auto"/>
        </w:tblBorders>
        <w:tblLook w:val="04A0" w:firstRow="1" w:lastRow="0" w:firstColumn="1" w:lastColumn="0" w:noHBand="0" w:noVBand="1"/>
      </w:tblPr>
      <w:tblGrid>
        <w:gridCol w:w="1530"/>
        <w:gridCol w:w="1675"/>
        <w:gridCol w:w="2307"/>
      </w:tblGrid>
      <w:tr w:rsidR="00D041E9" w:rsidRPr="003E40C4" w14:paraId="65A4DBE4" w14:textId="77777777" w:rsidTr="00D041E9">
        <w:trPr>
          <w:trHeight w:val="270"/>
          <w:jc w:val="center"/>
        </w:trPr>
        <w:tc>
          <w:tcPr>
            <w:tcW w:w="1530" w:type="dxa"/>
            <w:vMerge w:val="restart"/>
            <w:tcBorders>
              <w:top w:val="single" w:sz="4" w:space="0" w:color="auto"/>
              <w:bottom w:val="single" w:sz="4" w:space="0" w:color="auto"/>
            </w:tcBorders>
            <w:shd w:val="clear" w:color="auto" w:fill="EEECE1" w:themeFill="background2"/>
            <w:noWrap/>
            <w:vAlign w:val="center"/>
            <w:hideMark/>
          </w:tcPr>
          <w:p w14:paraId="3CC8C622" w14:textId="18DEF303" w:rsidR="00D041E9" w:rsidRPr="00D041E9" w:rsidRDefault="00D041E9" w:rsidP="0098547F">
            <w:pPr>
              <w:ind w:left="284" w:firstLine="0"/>
              <w:jc w:val="center"/>
              <w:rPr>
                <w:rFonts w:ascii="Garamond" w:hAnsi="Garamond"/>
                <w:sz w:val="24"/>
                <w:lang w:val="en-US"/>
              </w:rPr>
            </w:pPr>
            <w:r>
              <w:rPr>
                <w:rFonts w:ascii="Garamond" w:hAnsi="Garamond"/>
                <w:sz w:val="24"/>
                <w:lang w:val="en-US"/>
              </w:rPr>
              <w:t>Indikator</w:t>
            </w:r>
          </w:p>
        </w:tc>
        <w:tc>
          <w:tcPr>
            <w:tcW w:w="1609" w:type="dxa"/>
            <w:vMerge w:val="restart"/>
            <w:tcBorders>
              <w:top w:val="single" w:sz="4" w:space="0" w:color="auto"/>
              <w:bottom w:val="single" w:sz="4" w:space="0" w:color="auto"/>
            </w:tcBorders>
            <w:shd w:val="clear" w:color="auto" w:fill="EEECE1" w:themeFill="background2"/>
            <w:noWrap/>
            <w:vAlign w:val="center"/>
            <w:hideMark/>
          </w:tcPr>
          <w:p w14:paraId="46FAB91F" w14:textId="045F88BE" w:rsidR="00D041E9" w:rsidRPr="00D041E9" w:rsidRDefault="00D041E9" w:rsidP="0098547F">
            <w:pPr>
              <w:ind w:left="284" w:firstLine="0"/>
              <w:jc w:val="center"/>
              <w:rPr>
                <w:rFonts w:ascii="Garamond" w:hAnsi="Garamond"/>
                <w:sz w:val="24"/>
                <w:lang w:val="en-US"/>
              </w:rPr>
            </w:pPr>
            <w:r>
              <w:rPr>
                <w:rFonts w:ascii="Garamond" w:hAnsi="Garamond"/>
                <w:sz w:val="24"/>
                <w:lang w:val="en-US"/>
              </w:rPr>
              <w:t>Perencanaan</w:t>
            </w:r>
          </w:p>
        </w:tc>
        <w:tc>
          <w:tcPr>
            <w:tcW w:w="2307" w:type="dxa"/>
            <w:vMerge w:val="restart"/>
            <w:tcBorders>
              <w:top w:val="single" w:sz="4" w:space="0" w:color="auto"/>
              <w:bottom w:val="single" w:sz="4" w:space="0" w:color="auto"/>
            </w:tcBorders>
            <w:shd w:val="clear" w:color="auto" w:fill="EEECE1" w:themeFill="background2"/>
            <w:noWrap/>
            <w:vAlign w:val="center"/>
            <w:hideMark/>
          </w:tcPr>
          <w:p w14:paraId="1B9CB3A7" w14:textId="45CC81CE" w:rsidR="00D041E9" w:rsidRPr="00D041E9" w:rsidRDefault="00D041E9" w:rsidP="0098547F">
            <w:pPr>
              <w:ind w:left="284" w:firstLine="0"/>
              <w:jc w:val="center"/>
              <w:rPr>
                <w:rFonts w:ascii="Garamond" w:hAnsi="Garamond"/>
                <w:sz w:val="24"/>
                <w:lang w:val="en-US"/>
              </w:rPr>
            </w:pPr>
            <w:r>
              <w:rPr>
                <w:rFonts w:ascii="Garamond" w:hAnsi="Garamond"/>
                <w:sz w:val="24"/>
                <w:lang w:val="en-US"/>
              </w:rPr>
              <w:t>Pengelolaan</w:t>
            </w:r>
          </w:p>
        </w:tc>
      </w:tr>
      <w:tr w:rsidR="00D041E9" w:rsidRPr="003E40C4" w14:paraId="2D068503" w14:textId="77777777" w:rsidTr="00D041E9">
        <w:trPr>
          <w:trHeight w:val="405"/>
          <w:jc w:val="center"/>
        </w:trPr>
        <w:tc>
          <w:tcPr>
            <w:tcW w:w="1530" w:type="dxa"/>
            <w:vMerge/>
            <w:tcBorders>
              <w:top w:val="single" w:sz="4" w:space="0" w:color="auto"/>
              <w:bottom w:val="single" w:sz="4" w:space="0" w:color="auto"/>
            </w:tcBorders>
            <w:vAlign w:val="center"/>
            <w:hideMark/>
          </w:tcPr>
          <w:p w14:paraId="0094ABF3" w14:textId="77777777" w:rsidR="00D041E9" w:rsidRPr="00962E04" w:rsidRDefault="00D041E9" w:rsidP="0098547F">
            <w:pPr>
              <w:ind w:left="360"/>
              <w:jc w:val="center"/>
              <w:rPr>
                <w:rFonts w:ascii="Garamond" w:hAnsi="Garamond"/>
                <w:color w:val="000000"/>
                <w:sz w:val="24"/>
                <w:lang w:eastAsia="id-ID"/>
              </w:rPr>
            </w:pPr>
          </w:p>
        </w:tc>
        <w:tc>
          <w:tcPr>
            <w:tcW w:w="1609" w:type="dxa"/>
            <w:vMerge/>
            <w:tcBorders>
              <w:top w:val="nil"/>
              <w:bottom w:val="single" w:sz="4" w:space="0" w:color="auto"/>
            </w:tcBorders>
            <w:vAlign w:val="center"/>
            <w:hideMark/>
          </w:tcPr>
          <w:p w14:paraId="19330A13" w14:textId="77777777" w:rsidR="00D041E9" w:rsidRPr="00962E04" w:rsidRDefault="00D041E9" w:rsidP="0098547F">
            <w:pPr>
              <w:ind w:left="360"/>
              <w:jc w:val="center"/>
              <w:rPr>
                <w:rFonts w:ascii="Garamond" w:hAnsi="Garamond"/>
                <w:color w:val="000000"/>
                <w:sz w:val="24"/>
                <w:lang w:eastAsia="id-ID"/>
              </w:rPr>
            </w:pPr>
          </w:p>
        </w:tc>
        <w:tc>
          <w:tcPr>
            <w:tcW w:w="2307" w:type="dxa"/>
            <w:vMerge/>
            <w:tcBorders>
              <w:top w:val="nil"/>
              <w:bottom w:val="single" w:sz="4" w:space="0" w:color="auto"/>
            </w:tcBorders>
            <w:vAlign w:val="center"/>
            <w:hideMark/>
          </w:tcPr>
          <w:p w14:paraId="56163545" w14:textId="77777777" w:rsidR="00D041E9" w:rsidRPr="00962E04" w:rsidRDefault="00D041E9" w:rsidP="0098547F">
            <w:pPr>
              <w:ind w:left="360"/>
              <w:jc w:val="center"/>
              <w:rPr>
                <w:rFonts w:ascii="Garamond" w:hAnsi="Garamond"/>
                <w:color w:val="000000"/>
                <w:sz w:val="24"/>
                <w:lang w:eastAsia="id-ID"/>
              </w:rPr>
            </w:pPr>
          </w:p>
        </w:tc>
      </w:tr>
      <w:tr w:rsidR="00D041E9" w:rsidRPr="003E40C4" w14:paraId="693B5CD4" w14:textId="77777777" w:rsidTr="00D041E9">
        <w:trPr>
          <w:trHeight w:val="20"/>
          <w:jc w:val="center"/>
        </w:trPr>
        <w:tc>
          <w:tcPr>
            <w:tcW w:w="1530" w:type="dxa"/>
            <w:tcBorders>
              <w:top w:val="single" w:sz="4" w:space="0" w:color="auto"/>
            </w:tcBorders>
            <w:shd w:val="clear" w:color="auto" w:fill="auto"/>
            <w:noWrap/>
            <w:vAlign w:val="center"/>
          </w:tcPr>
          <w:p w14:paraId="6E29A1F9" w14:textId="6BCA6864" w:rsidR="00D041E9" w:rsidRPr="00D041E9" w:rsidRDefault="00D041E9" w:rsidP="0098547F">
            <w:pPr>
              <w:jc w:val="center"/>
              <w:rPr>
                <w:rFonts w:ascii="Garamond" w:hAnsi="Garamond"/>
                <w:sz w:val="24"/>
                <w:lang w:val="en-US" w:eastAsia="id-ID"/>
              </w:rPr>
            </w:pPr>
            <w:r>
              <w:rPr>
                <w:rFonts w:ascii="Garamond" w:hAnsi="Garamond"/>
                <w:sz w:val="24"/>
                <w:lang w:val="en-US" w:eastAsia="id-ID"/>
              </w:rPr>
              <w:t>Suhu</w:t>
            </w:r>
          </w:p>
        </w:tc>
        <w:tc>
          <w:tcPr>
            <w:tcW w:w="1609" w:type="dxa"/>
            <w:tcBorders>
              <w:top w:val="single" w:sz="4" w:space="0" w:color="auto"/>
            </w:tcBorders>
            <w:shd w:val="clear" w:color="auto" w:fill="auto"/>
            <w:noWrap/>
          </w:tcPr>
          <w:p w14:paraId="39866DEE" w14:textId="1C3F12D7" w:rsidR="00D041E9" w:rsidRPr="00D041E9" w:rsidRDefault="00D041E9" w:rsidP="0098547F">
            <w:pPr>
              <w:jc w:val="center"/>
              <w:rPr>
                <w:rFonts w:ascii="Garamond" w:hAnsi="Garamond"/>
                <w:sz w:val="24"/>
                <w:lang w:val="en-US" w:eastAsia="id-ID"/>
              </w:rPr>
            </w:pPr>
            <w:r>
              <w:rPr>
                <w:rFonts w:ascii="Garamond" w:hAnsi="Garamond"/>
                <w:sz w:val="24"/>
                <w:lang w:val="en-US" w:eastAsia="id-ID"/>
              </w:rPr>
              <w:t>-</w:t>
            </w:r>
          </w:p>
        </w:tc>
        <w:tc>
          <w:tcPr>
            <w:tcW w:w="2307" w:type="dxa"/>
            <w:tcBorders>
              <w:top w:val="single" w:sz="4" w:space="0" w:color="auto"/>
            </w:tcBorders>
            <w:shd w:val="clear" w:color="auto" w:fill="auto"/>
            <w:noWrap/>
          </w:tcPr>
          <w:p w14:paraId="75340F49" w14:textId="1462E582" w:rsidR="00D041E9" w:rsidRPr="00D041E9" w:rsidRDefault="00D041E9" w:rsidP="0098547F">
            <w:pPr>
              <w:jc w:val="center"/>
              <w:rPr>
                <w:rFonts w:ascii="Garamond" w:hAnsi="Garamond"/>
                <w:sz w:val="24"/>
                <w:lang w:val="en-US" w:eastAsia="id-ID"/>
              </w:rPr>
            </w:pPr>
            <w:r>
              <w:rPr>
                <w:rFonts w:ascii="Garamond" w:hAnsi="Garamond"/>
                <w:sz w:val="24"/>
                <w:lang w:val="en-US" w:eastAsia="id-ID"/>
              </w:rPr>
              <w:t>V</w:t>
            </w:r>
          </w:p>
        </w:tc>
      </w:tr>
      <w:tr w:rsidR="00D041E9" w:rsidRPr="003E40C4" w14:paraId="4E880DCF" w14:textId="77777777" w:rsidTr="00D041E9">
        <w:trPr>
          <w:trHeight w:val="20"/>
          <w:jc w:val="center"/>
        </w:trPr>
        <w:tc>
          <w:tcPr>
            <w:tcW w:w="1530" w:type="dxa"/>
            <w:shd w:val="clear" w:color="auto" w:fill="auto"/>
            <w:noWrap/>
            <w:vAlign w:val="center"/>
          </w:tcPr>
          <w:p w14:paraId="25650DDB" w14:textId="2F65D064" w:rsidR="00D041E9" w:rsidRPr="00D041E9" w:rsidRDefault="00D041E9" w:rsidP="0098547F">
            <w:pPr>
              <w:jc w:val="center"/>
              <w:rPr>
                <w:rFonts w:ascii="Garamond" w:hAnsi="Garamond"/>
                <w:sz w:val="24"/>
                <w:lang w:val="en-US" w:eastAsia="id-ID"/>
              </w:rPr>
            </w:pPr>
            <w:r>
              <w:rPr>
                <w:rFonts w:ascii="Garamond" w:hAnsi="Garamond"/>
                <w:sz w:val="24"/>
                <w:lang w:val="en-US" w:eastAsia="id-ID"/>
              </w:rPr>
              <w:t>Kecerahan</w:t>
            </w:r>
          </w:p>
        </w:tc>
        <w:tc>
          <w:tcPr>
            <w:tcW w:w="1609" w:type="dxa"/>
            <w:shd w:val="clear" w:color="auto" w:fill="auto"/>
            <w:noWrap/>
          </w:tcPr>
          <w:p w14:paraId="2931EF41" w14:textId="3CFE08F9" w:rsidR="00D041E9" w:rsidRPr="00D041E9" w:rsidRDefault="00D041E9" w:rsidP="0098547F">
            <w:pPr>
              <w:jc w:val="center"/>
              <w:rPr>
                <w:rFonts w:ascii="Garamond" w:hAnsi="Garamond"/>
                <w:sz w:val="24"/>
                <w:lang w:val="en-US" w:eastAsia="id-ID"/>
              </w:rPr>
            </w:pPr>
            <w:r>
              <w:rPr>
                <w:rFonts w:ascii="Garamond" w:hAnsi="Garamond"/>
                <w:sz w:val="24"/>
                <w:lang w:val="en-US" w:eastAsia="id-ID"/>
              </w:rPr>
              <w:t>V</w:t>
            </w:r>
          </w:p>
        </w:tc>
        <w:tc>
          <w:tcPr>
            <w:tcW w:w="2307" w:type="dxa"/>
            <w:shd w:val="clear" w:color="auto" w:fill="auto"/>
            <w:noWrap/>
          </w:tcPr>
          <w:p w14:paraId="7BB44A01" w14:textId="07A6D255" w:rsidR="00D041E9" w:rsidRPr="00D041E9" w:rsidRDefault="00D041E9" w:rsidP="0098547F">
            <w:pPr>
              <w:jc w:val="center"/>
              <w:rPr>
                <w:rFonts w:ascii="Garamond" w:hAnsi="Garamond"/>
                <w:sz w:val="24"/>
                <w:lang w:val="en-US" w:eastAsia="id-ID"/>
              </w:rPr>
            </w:pPr>
            <w:r>
              <w:rPr>
                <w:rFonts w:ascii="Garamond" w:hAnsi="Garamond"/>
                <w:sz w:val="24"/>
                <w:lang w:val="en-US" w:eastAsia="id-ID"/>
              </w:rPr>
              <w:t>V</w:t>
            </w:r>
          </w:p>
        </w:tc>
      </w:tr>
      <w:tr w:rsidR="00D041E9" w:rsidRPr="003E40C4" w14:paraId="489BA912" w14:textId="77777777" w:rsidTr="00D041E9">
        <w:trPr>
          <w:trHeight w:val="20"/>
          <w:jc w:val="center"/>
        </w:trPr>
        <w:tc>
          <w:tcPr>
            <w:tcW w:w="1530" w:type="dxa"/>
            <w:tcBorders>
              <w:bottom w:val="nil"/>
            </w:tcBorders>
            <w:shd w:val="clear" w:color="auto" w:fill="auto"/>
            <w:noWrap/>
            <w:vAlign w:val="center"/>
          </w:tcPr>
          <w:p w14:paraId="5486AB5E" w14:textId="0FA62AE8" w:rsidR="00D041E9" w:rsidRPr="00D041E9" w:rsidRDefault="00D041E9" w:rsidP="0098547F">
            <w:pPr>
              <w:jc w:val="center"/>
              <w:rPr>
                <w:rFonts w:ascii="Garamond" w:hAnsi="Garamond"/>
                <w:sz w:val="24"/>
                <w:lang w:val="en-US" w:eastAsia="id-ID"/>
              </w:rPr>
            </w:pPr>
            <w:r>
              <w:rPr>
                <w:rFonts w:ascii="Garamond" w:hAnsi="Garamond"/>
                <w:sz w:val="24"/>
                <w:lang w:val="en-US" w:eastAsia="id-ID"/>
              </w:rPr>
              <w:t>Bau</w:t>
            </w:r>
          </w:p>
        </w:tc>
        <w:tc>
          <w:tcPr>
            <w:tcW w:w="1609" w:type="dxa"/>
            <w:tcBorders>
              <w:bottom w:val="nil"/>
            </w:tcBorders>
            <w:shd w:val="clear" w:color="auto" w:fill="auto"/>
            <w:noWrap/>
          </w:tcPr>
          <w:p w14:paraId="6DBB820F" w14:textId="0C182D0E" w:rsidR="00D041E9" w:rsidRPr="00D041E9" w:rsidRDefault="00D041E9" w:rsidP="0098547F">
            <w:pPr>
              <w:jc w:val="center"/>
              <w:rPr>
                <w:rFonts w:ascii="Garamond" w:hAnsi="Garamond"/>
                <w:sz w:val="24"/>
                <w:lang w:val="en-US" w:eastAsia="id-ID"/>
              </w:rPr>
            </w:pPr>
            <w:r>
              <w:rPr>
                <w:rFonts w:ascii="Garamond" w:hAnsi="Garamond"/>
                <w:sz w:val="24"/>
                <w:lang w:val="en-US" w:eastAsia="id-ID"/>
              </w:rPr>
              <w:t>-</w:t>
            </w:r>
          </w:p>
        </w:tc>
        <w:tc>
          <w:tcPr>
            <w:tcW w:w="2307" w:type="dxa"/>
            <w:tcBorders>
              <w:bottom w:val="nil"/>
            </w:tcBorders>
            <w:shd w:val="clear" w:color="auto" w:fill="auto"/>
            <w:noWrap/>
          </w:tcPr>
          <w:p w14:paraId="4D797C20" w14:textId="65903EE6" w:rsidR="00D041E9" w:rsidRPr="00D041E9" w:rsidRDefault="00D041E9" w:rsidP="0098547F">
            <w:pPr>
              <w:jc w:val="center"/>
              <w:rPr>
                <w:rFonts w:ascii="Garamond" w:hAnsi="Garamond"/>
                <w:sz w:val="24"/>
                <w:lang w:val="en-US" w:eastAsia="id-ID"/>
              </w:rPr>
            </w:pPr>
            <w:r>
              <w:rPr>
                <w:rFonts w:ascii="Garamond" w:hAnsi="Garamond"/>
                <w:sz w:val="24"/>
                <w:lang w:val="en-US" w:eastAsia="id-ID"/>
              </w:rPr>
              <w:t>V</w:t>
            </w:r>
          </w:p>
        </w:tc>
      </w:tr>
      <w:tr w:rsidR="00D041E9" w:rsidRPr="003E40C4" w14:paraId="03B38BF1" w14:textId="77777777" w:rsidTr="00D041E9">
        <w:trPr>
          <w:trHeight w:val="20"/>
          <w:jc w:val="center"/>
        </w:trPr>
        <w:tc>
          <w:tcPr>
            <w:tcW w:w="1530" w:type="dxa"/>
            <w:tcBorders>
              <w:bottom w:val="nil"/>
            </w:tcBorders>
            <w:shd w:val="clear" w:color="auto" w:fill="auto"/>
            <w:noWrap/>
            <w:vAlign w:val="center"/>
          </w:tcPr>
          <w:p w14:paraId="04E6B8AA" w14:textId="7F2BEB45" w:rsidR="00D041E9" w:rsidRPr="00D041E9" w:rsidRDefault="00D041E9" w:rsidP="0098547F">
            <w:pPr>
              <w:jc w:val="center"/>
              <w:rPr>
                <w:rFonts w:ascii="Garamond" w:hAnsi="Garamond"/>
                <w:sz w:val="24"/>
                <w:lang w:val="en-US" w:eastAsia="id-ID"/>
              </w:rPr>
            </w:pPr>
            <w:r>
              <w:rPr>
                <w:rFonts w:ascii="Garamond" w:hAnsi="Garamond"/>
                <w:sz w:val="24"/>
                <w:lang w:val="en-US" w:eastAsia="id-ID"/>
              </w:rPr>
              <w:t>Kekeruhan</w:t>
            </w:r>
          </w:p>
        </w:tc>
        <w:tc>
          <w:tcPr>
            <w:tcW w:w="1609" w:type="dxa"/>
            <w:tcBorders>
              <w:bottom w:val="nil"/>
            </w:tcBorders>
            <w:shd w:val="clear" w:color="auto" w:fill="auto"/>
            <w:noWrap/>
          </w:tcPr>
          <w:p w14:paraId="63FE01F0" w14:textId="0BB2EFBB" w:rsidR="00D041E9" w:rsidRPr="00D041E9" w:rsidRDefault="00D041E9" w:rsidP="0098547F">
            <w:pPr>
              <w:jc w:val="center"/>
              <w:rPr>
                <w:rFonts w:ascii="Garamond" w:hAnsi="Garamond"/>
                <w:sz w:val="24"/>
                <w:lang w:val="en-US"/>
              </w:rPr>
            </w:pPr>
            <w:r>
              <w:rPr>
                <w:rFonts w:ascii="Garamond" w:hAnsi="Garamond"/>
                <w:sz w:val="24"/>
                <w:lang w:val="en-US"/>
              </w:rPr>
              <w:t>-</w:t>
            </w:r>
          </w:p>
        </w:tc>
        <w:tc>
          <w:tcPr>
            <w:tcW w:w="2307" w:type="dxa"/>
            <w:tcBorders>
              <w:bottom w:val="nil"/>
            </w:tcBorders>
            <w:shd w:val="clear" w:color="auto" w:fill="auto"/>
            <w:noWrap/>
          </w:tcPr>
          <w:p w14:paraId="229D32D3" w14:textId="3DF08EC0" w:rsidR="00D041E9" w:rsidRPr="00D041E9" w:rsidRDefault="00D041E9" w:rsidP="0098547F">
            <w:pPr>
              <w:jc w:val="center"/>
              <w:rPr>
                <w:rFonts w:ascii="Garamond" w:hAnsi="Garamond"/>
                <w:sz w:val="24"/>
                <w:lang w:val="en-US"/>
              </w:rPr>
            </w:pPr>
            <w:r>
              <w:rPr>
                <w:rFonts w:ascii="Garamond" w:hAnsi="Garamond"/>
                <w:sz w:val="24"/>
                <w:lang w:val="en-US"/>
              </w:rPr>
              <w:t>V</w:t>
            </w:r>
          </w:p>
        </w:tc>
      </w:tr>
      <w:tr w:rsidR="00D041E9" w:rsidRPr="003E40C4" w14:paraId="4265F1C2" w14:textId="77777777" w:rsidTr="00D041E9">
        <w:trPr>
          <w:trHeight w:val="20"/>
          <w:jc w:val="center"/>
        </w:trPr>
        <w:tc>
          <w:tcPr>
            <w:tcW w:w="1530" w:type="dxa"/>
            <w:tcBorders>
              <w:top w:val="nil"/>
              <w:bottom w:val="single" w:sz="4" w:space="0" w:color="auto"/>
            </w:tcBorders>
            <w:shd w:val="clear" w:color="auto" w:fill="auto"/>
            <w:noWrap/>
            <w:vAlign w:val="center"/>
          </w:tcPr>
          <w:p w14:paraId="1A0C5460" w14:textId="60A05908" w:rsidR="00D041E9" w:rsidRPr="00D041E9" w:rsidRDefault="00D041E9" w:rsidP="0098547F">
            <w:pPr>
              <w:jc w:val="center"/>
              <w:rPr>
                <w:rFonts w:ascii="Garamond" w:hAnsi="Garamond"/>
                <w:sz w:val="24"/>
                <w:lang w:val="en-US" w:eastAsia="id-ID"/>
              </w:rPr>
            </w:pPr>
            <w:r>
              <w:rPr>
                <w:rFonts w:ascii="Garamond" w:hAnsi="Garamond"/>
                <w:sz w:val="24"/>
                <w:lang w:val="en-US" w:eastAsia="id-ID"/>
              </w:rPr>
              <w:t>Salinitas</w:t>
            </w:r>
          </w:p>
        </w:tc>
        <w:tc>
          <w:tcPr>
            <w:tcW w:w="1609" w:type="dxa"/>
            <w:tcBorders>
              <w:top w:val="nil"/>
              <w:bottom w:val="single" w:sz="4" w:space="0" w:color="auto"/>
            </w:tcBorders>
            <w:shd w:val="clear" w:color="auto" w:fill="auto"/>
            <w:noWrap/>
          </w:tcPr>
          <w:p w14:paraId="056540D1" w14:textId="188238D1" w:rsidR="00D041E9" w:rsidRPr="00D041E9" w:rsidRDefault="00D041E9" w:rsidP="0098547F">
            <w:pPr>
              <w:jc w:val="center"/>
              <w:rPr>
                <w:rFonts w:ascii="Garamond" w:hAnsi="Garamond"/>
                <w:sz w:val="24"/>
                <w:lang w:val="en-US"/>
              </w:rPr>
            </w:pPr>
            <w:r>
              <w:rPr>
                <w:rFonts w:ascii="Garamond" w:hAnsi="Garamond"/>
                <w:sz w:val="24"/>
                <w:lang w:val="en-US"/>
              </w:rPr>
              <w:t>-</w:t>
            </w:r>
          </w:p>
        </w:tc>
        <w:tc>
          <w:tcPr>
            <w:tcW w:w="2307" w:type="dxa"/>
            <w:tcBorders>
              <w:top w:val="nil"/>
              <w:bottom w:val="single" w:sz="4" w:space="0" w:color="auto"/>
            </w:tcBorders>
            <w:shd w:val="clear" w:color="auto" w:fill="auto"/>
            <w:noWrap/>
          </w:tcPr>
          <w:p w14:paraId="18745823" w14:textId="3E76D374" w:rsidR="00D041E9" w:rsidRPr="00D041E9" w:rsidRDefault="00D041E9" w:rsidP="0098547F">
            <w:pPr>
              <w:jc w:val="center"/>
              <w:rPr>
                <w:rFonts w:ascii="Garamond" w:hAnsi="Garamond"/>
                <w:sz w:val="24"/>
                <w:lang w:val="en-US"/>
              </w:rPr>
            </w:pPr>
            <w:r>
              <w:rPr>
                <w:rFonts w:ascii="Garamond" w:hAnsi="Garamond"/>
                <w:sz w:val="24"/>
                <w:lang w:val="en-US"/>
              </w:rPr>
              <w:t>V</w:t>
            </w:r>
          </w:p>
        </w:tc>
      </w:tr>
    </w:tbl>
    <w:p w14:paraId="37AB4CBF" w14:textId="29BC97F2" w:rsidR="00F1670D" w:rsidRPr="00D041E9" w:rsidRDefault="00D041E9" w:rsidP="00D041E9">
      <w:pPr>
        <w:ind w:firstLine="0"/>
        <w:jc w:val="center"/>
        <w:rPr>
          <w:rFonts w:ascii="Garamond" w:eastAsia="Times New Roman" w:hAnsi="Garamond"/>
          <w:sz w:val="20"/>
          <w:lang w:val="en-US"/>
        </w:rPr>
      </w:pPr>
      <w:r w:rsidRPr="00D041E9">
        <w:rPr>
          <w:rFonts w:ascii="Garamond" w:hAnsi="Garamond"/>
          <w:sz w:val="18"/>
          <w:lang w:val="en-US"/>
        </w:rPr>
        <w:t>V sebagai pengaruh penting</w:t>
      </w:r>
    </w:p>
    <w:p w14:paraId="5A277AAA" w14:textId="77777777" w:rsidR="00D041E9" w:rsidRDefault="00D041E9" w:rsidP="00B27D56">
      <w:pPr>
        <w:pStyle w:val="Heading2"/>
        <w:numPr>
          <w:ilvl w:val="0"/>
          <w:numId w:val="0"/>
        </w:numPr>
        <w:ind w:left="284" w:hanging="284"/>
        <w:rPr>
          <w:rFonts w:ascii="Garamond" w:hAnsi="Garamond"/>
          <w:b w:val="0"/>
          <w:i/>
          <w:sz w:val="24"/>
          <w:szCs w:val="28"/>
          <w:lang w:val="en-US"/>
        </w:rPr>
      </w:pPr>
    </w:p>
    <w:p w14:paraId="3F70CBB6" w14:textId="77D74D08" w:rsidR="00923B6C" w:rsidRPr="00EA748A" w:rsidRDefault="00D041E9" w:rsidP="00F1670D">
      <w:pPr>
        <w:ind w:firstLine="426"/>
        <w:rPr>
          <w:rFonts w:ascii="Garamond" w:hAnsi="Garamond"/>
          <w:sz w:val="24"/>
          <w:szCs w:val="28"/>
          <w:lang w:val="en-US"/>
        </w:rPr>
      </w:pPr>
      <w:r>
        <w:rPr>
          <w:rFonts w:ascii="Garamond" w:hAnsi="Garamond"/>
          <w:sz w:val="24"/>
          <w:szCs w:val="28"/>
          <w:lang w:val="en-US"/>
        </w:rPr>
        <w:fldChar w:fldCharType="begin" w:fldLock="1"/>
      </w:r>
      <w:r w:rsidR="0098547F">
        <w:rPr>
          <w:rFonts w:ascii="Garamond" w:hAnsi="Garamond"/>
          <w:sz w:val="24"/>
          <w:szCs w:val="28"/>
          <w:lang w:val="en-US"/>
        </w:rPr>
        <w:instrText>ADDIN CSL_CITATION {"citationItems":[{"id":"ITEM-1","itemData":{"DOI":"10.1080/13676261.2019.1704408","ISSN":"13676261","author":[{"dropping-particle":"","family":"Wenham","given":"Aniela","non-dropping-particle":"","parse-names":false,"suffix":""}],"container-title":"Journal of Youth Studies","id":"ITEM-1","issue":"0","issued":{"date-parts":[["2019"]]},"page":"1-17","publisher":"Taylor &amp; Francis","title":"“ Wish you were here ”? Geographies of exclusion : young people , coastal towns and marginality","type":"article-journal","volume":"0"},"uris":["http://www.mendeley.com/documents/?uuid=8f4f6377-e702-4fad-bb00-d50ba7c318e9"]},{"id":"ITEM-2","itemData":{"DOI":"10.15243/jdmlm.2021.091.3093","ISSN":"25022458","abstract":"Expansion of industrial areas, aquaculture, settlements, and limited knowledge of the community about the function of mangroves allegedly led to the conversion of mangrove functions in the early 1990s. This study aimed to map the condition of mangroves from 1988, 1990, 1995, 2008, to 2021 and their effect on the widespread of tidal flooding in three villages (Mangkang Kulon, Mangunharjo, Mangkang Wetan) in Tugu subdistrict, Semarang City. The research method was carried out by using spatiotemporal analysis of Landsat 5 and Landsat 8 imagery through the supervised approach (Maximum Likelihood algorithm). In order to map the correlation of mangrove damage with the widespread impact of tidal flooding, an overlay analysis of land use maps was carried out in 1988, 1990, 1995, 2008 and 2021. The results of the study showed that mangrove damage is correlated with the widespread of tidal flooding that drowns settlements, ponds, and agricultural land. Data analysis showed that the mangrove area in three villages has decreased from 1988 to 2021, covering an area of 242.66 ha. This condition is one of the triggers for the increase in tidal flooding area from 1988 to 2021, covering an area of 253.135 ha. As a natural barrier to prevent abrasion and tidal flooding, mangrove conservation is very necessary, considering the impact of tidal flooding on the coast of Semarang City is increasingly widespread.","author":[{"dropping-particle":"","family":"Utami","given":"Westi","non-dropping-particle":"","parse-names":false,"suffix":""},{"dropping-particle":"","family":"Wibowo","given":"Yuli Ardianto","non-dropping-particle":"","parse-names":false,"suffix":""},{"dropping-particle":"","family":"Hadi","given":"Ahmad Haris","non-dropping-particle":"","parse-names":false,"suffix":""},{"dropping-particle":"","family":"Permadi","given":"Fajar Buyung","non-dropping-particle":"","parse-names":false,"suffix":""}],"container-title":"Journal of Degraded and Mining Lands Management","id":"ITEM-2","issue":"1","issued":{"date-parts":[["2021"]]},"page":"3093-3105","title":"The impact of mangrove damage on tidal flooding in the subdistrict of Tugu, Semarang, Central Java","type":"article-journal","volume":"9"},"uris":["http://www.mendeley.com/documents/?uuid=13b05967-250e-4b9d-8d2c-7c04260f73a2"]}],"mendeley":{"formattedCitation":"(Utami et al., 2021; Wenham, 2019)","plainTextFormattedCitation":"(Utami et al., 2021; Wenham, 2019)","previouslyFormattedCitation":"[7], [8]"},"properties":{"noteIndex":0},"schema":"https://github.com/citation-style-language/schema/raw/master/csl-citation.json"}</w:instrText>
      </w:r>
      <w:r>
        <w:rPr>
          <w:rFonts w:ascii="Garamond" w:hAnsi="Garamond"/>
          <w:sz w:val="24"/>
          <w:szCs w:val="28"/>
          <w:lang w:val="en-US"/>
        </w:rPr>
        <w:fldChar w:fldCharType="separate"/>
      </w:r>
      <w:r w:rsidR="0098547F" w:rsidRPr="0098547F">
        <w:rPr>
          <w:rFonts w:ascii="Garamond" w:hAnsi="Garamond"/>
          <w:noProof/>
          <w:sz w:val="24"/>
          <w:szCs w:val="28"/>
          <w:lang w:val="en-US"/>
        </w:rPr>
        <w:t>(Utami et al., 2021; Wenham, 2019)</w:t>
      </w:r>
      <w:r>
        <w:rPr>
          <w:rFonts w:ascii="Garamond" w:hAnsi="Garamond"/>
          <w:sz w:val="24"/>
          <w:szCs w:val="28"/>
          <w:lang w:val="en-US"/>
        </w:rPr>
        <w:fldChar w:fldCharType="end"/>
      </w:r>
      <w:r>
        <w:rPr>
          <w:rFonts w:ascii="Garamond" w:hAnsi="Garamond"/>
          <w:sz w:val="24"/>
          <w:szCs w:val="28"/>
          <w:lang w:val="en-US"/>
        </w:rPr>
        <w:t xml:space="preserve"> Banyak diantara beberapa kasus, dalam hal budidaya perikanan belum banyak diselidiki, namun kajian ini beranggap penting karena dalam peraturan menteri, belum tersedia, padahal baku mutu sangat penting dalam perencanaan dan pengelolaan tambak sebagai bagian tak terpisahkan dalam pembangunan ekonomi masyarakat pesisir.</w:t>
      </w:r>
    </w:p>
    <w:p w14:paraId="6543E3C0" w14:textId="77777777" w:rsidR="00F1670D" w:rsidRPr="00754EE0" w:rsidRDefault="00F1670D" w:rsidP="00F1670D">
      <w:pPr>
        <w:rPr>
          <w:rFonts w:ascii="Garamond" w:hAnsi="Garamond"/>
          <w:lang w:val="en-US"/>
        </w:rPr>
      </w:pPr>
    </w:p>
    <w:p w14:paraId="78852665" w14:textId="77777777" w:rsidR="00F1670D" w:rsidRPr="00EA748A" w:rsidRDefault="000E0E3E" w:rsidP="00B27D56">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KESIMPULAN</w:t>
      </w:r>
    </w:p>
    <w:p w14:paraId="271EF53E" w14:textId="77777777" w:rsidR="00B27D56" w:rsidRPr="00EA748A" w:rsidRDefault="00B27D56" w:rsidP="00B27D56">
      <w:pPr>
        <w:rPr>
          <w:rFonts w:ascii="Garamond" w:hAnsi="Garamond"/>
          <w:sz w:val="24"/>
          <w:szCs w:val="28"/>
          <w:lang w:val="en-US"/>
        </w:rPr>
      </w:pPr>
    </w:p>
    <w:p w14:paraId="69B30B6F" w14:textId="7FF9EEFF" w:rsidR="00F1670D" w:rsidRPr="00EA748A" w:rsidRDefault="00D041E9" w:rsidP="0082788D">
      <w:pPr>
        <w:ind w:firstLine="426"/>
        <w:rPr>
          <w:rFonts w:ascii="Garamond" w:hAnsi="Garamond"/>
          <w:sz w:val="24"/>
          <w:szCs w:val="28"/>
          <w:lang w:val="en-US"/>
        </w:rPr>
      </w:pPr>
      <w:r>
        <w:rPr>
          <w:rFonts w:ascii="Garamond" w:hAnsi="Garamond"/>
          <w:sz w:val="24"/>
          <w:szCs w:val="28"/>
          <w:lang w:val="en-US"/>
        </w:rPr>
        <w:t xml:space="preserve">Dengan belum adanya peraturan </w:t>
      </w:r>
      <w:proofErr w:type="gramStart"/>
      <w:r>
        <w:rPr>
          <w:rFonts w:ascii="Garamond" w:hAnsi="Garamond"/>
          <w:sz w:val="24"/>
          <w:szCs w:val="28"/>
          <w:lang w:val="en-US"/>
        </w:rPr>
        <w:t>baku</w:t>
      </w:r>
      <w:proofErr w:type="gramEnd"/>
      <w:r>
        <w:rPr>
          <w:rFonts w:ascii="Garamond" w:hAnsi="Garamond"/>
          <w:sz w:val="24"/>
          <w:szCs w:val="28"/>
          <w:lang w:val="en-US"/>
        </w:rPr>
        <w:t xml:space="preserve"> mutu air alut, perlu adanya tindak lanjut kementerian dalam memutuskan bahwa ada peraturan yang mengayomi pembangunan budidaya.</w:t>
      </w:r>
    </w:p>
    <w:p w14:paraId="3C4A6DB9" w14:textId="77777777" w:rsidR="00F1670D" w:rsidRPr="00754EE0" w:rsidRDefault="00F1670D" w:rsidP="00F1670D">
      <w:pPr>
        <w:rPr>
          <w:rFonts w:ascii="Garamond" w:hAnsi="Garamond"/>
          <w:lang w:val="en-US"/>
        </w:rPr>
      </w:pPr>
    </w:p>
    <w:p w14:paraId="0E603843" w14:textId="77777777" w:rsidR="00F1670D" w:rsidRPr="00EA748A" w:rsidRDefault="000E0E3E" w:rsidP="00F1670D">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1C5B24F4" w14:textId="77777777" w:rsidR="00B27D56" w:rsidRPr="00754EE0" w:rsidRDefault="00B27D56" w:rsidP="00B27D56">
      <w:pPr>
        <w:rPr>
          <w:rFonts w:ascii="Garamond" w:hAnsi="Garamond"/>
          <w:lang w:val="en-US"/>
        </w:rPr>
      </w:pPr>
    </w:p>
    <w:p w14:paraId="6FA56A79" w14:textId="292DF7AC" w:rsidR="00F1670D" w:rsidRDefault="00D041E9" w:rsidP="00F1670D">
      <w:pPr>
        <w:ind w:firstLine="426"/>
        <w:rPr>
          <w:rFonts w:ascii="Garamond" w:eastAsia="Times New Roman" w:hAnsi="Garamond"/>
          <w:sz w:val="24"/>
          <w:szCs w:val="28"/>
          <w:lang w:val="en-US"/>
        </w:rPr>
      </w:pPr>
      <w:r>
        <w:rPr>
          <w:rFonts w:ascii="Garamond" w:eastAsia="Times New Roman" w:hAnsi="Garamond"/>
          <w:sz w:val="24"/>
          <w:szCs w:val="28"/>
          <w:lang w:val="en-US"/>
        </w:rPr>
        <w:t xml:space="preserve">Terima kasih atas kerjasama para laboran, dosen, dan seluruh mahasiswa-mahasiswi fpik </w:t>
      </w:r>
      <w:proofErr w:type="gramStart"/>
      <w:r>
        <w:rPr>
          <w:rFonts w:ascii="Garamond" w:eastAsia="Times New Roman" w:hAnsi="Garamond"/>
          <w:sz w:val="24"/>
          <w:szCs w:val="28"/>
          <w:lang w:val="en-US"/>
        </w:rPr>
        <w:t xml:space="preserve">ups </w:t>
      </w:r>
      <w:r w:rsidR="006D7093" w:rsidRPr="00EA748A">
        <w:rPr>
          <w:rFonts w:ascii="Garamond" w:eastAsia="Times New Roman" w:hAnsi="Garamond"/>
          <w:sz w:val="24"/>
          <w:szCs w:val="28"/>
          <w:lang w:val="en-US"/>
        </w:rPr>
        <w:t>.</w:t>
      </w:r>
      <w:proofErr w:type="gramEnd"/>
    </w:p>
    <w:p w14:paraId="34DCB1BE" w14:textId="77777777" w:rsidR="00EA748A" w:rsidRPr="00EA748A" w:rsidRDefault="00EA748A" w:rsidP="007043BA">
      <w:pPr>
        <w:ind w:firstLine="0"/>
        <w:rPr>
          <w:rFonts w:ascii="Garamond" w:eastAsia="Times New Roman" w:hAnsi="Garamond"/>
          <w:sz w:val="24"/>
          <w:szCs w:val="28"/>
          <w:lang w:val="en-US"/>
        </w:rPr>
      </w:pPr>
    </w:p>
    <w:p w14:paraId="37F288E3" w14:textId="77777777" w:rsidR="002B54F9" w:rsidRPr="00754EE0" w:rsidRDefault="002B54F9" w:rsidP="00F1670D">
      <w:pPr>
        <w:rPr>
          <w:rFonts w:ascii="Garamond" w:eastAsia="Times New Roman" w:hAnsi="Garamond"/>
          <w:lang w:val="en-US"/>
        </w:rPr>
      </w:pPr>
    </w:p>
    <w:p w14:paraId="6E7A39B7" w14:textId="009D4EA8" w:rsidR="00F1670D" w:rsidRPr="00C758AA" w:rsidRDefault="000E0E3E" w:rsidP="00F1670D">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469F4190" w14:textId="4FB96FFE" w:rsidR="0098547F" w:rsidRPr="0098547F" w:rsidRDefault="00962E04" w:rsidP="0098547F">
      <w:pPr>
        <w:widowControl w:val="0"/>
        <w:autoSpaceDE w:val="0"/>
        <w:autoSpaceDN w:val="0"/>
        <w:adjustRightInd w:val="0"/>
        <w:ind w:left="480" w:hanging="480"/>
        <w:rPr>
          <w:rFonts w:ascii="Garamond" w:hAnsi="Garamond"/>
          <w:noProof/>
        </w:rPr>
      </w:pPr>
      <w:r>
        <w:rPr>
          <w:lang w:val="en-US"/>
        </w:rPr>
        <w:fldChar w:fldCharType="begin" w:fldLock="1"/>
      </w:r>
      <w:r>
        <w:rPr>
          <w:lang w:val="en-US"/>
        </w:rPr>
        <w:instrText xml:space="preserve">ADDIN Mendeley Bibliography CSL_BIBLIOGRAPHY </w:instrText>
      </w:r>
      <w:r>
        <w:rPr>
          <w:lang w:val="en-US"/>
        </w:rPr>
        <w:fldChar w:fldCharType="separate"/>
      </w:r>
      <w:r w:rsidR="0098547F" w:rsidRPr="0098547F">
        <w:rPr>
          <w:rFonts w:ascii="Garamond" w:hAnsi="Garamond"/>
          <w:noProof/>
        </w:rPr>
        <w:t xml:space="preserve">Fithor, A., Indarjo, A., &amp; Ario, R. (2013). Studi Kesesuaian Wisata Dan Mutu Air Laut Untuk Ekowisata Rekreasi Pantai Di Pantai Maron Kota Semarang. </w:t>
      </w:r>
      <w:r w:rsidR="0098547F" w:rsidRPr="0098547F">
        <w:rPr>
          <w:rFonts w:ascii="Garamond" w:hAnsi="Garamond"/>
          <w:i/>
          <w:iCs/>
          <w:noProof/>
        </w:rPr>
        <w:t>Diponegoro Journal of Marine Research</w:t>
      </w:r>
      <w:r w:rsidR="0098547F" w:rsidRPr="0098547F">
        <w:rPr>
          <w:rFonts w:ascii="Garamond" w:hAnsi="Garamond"/>
          <w:noProof/>
        </w:rPr>
        <w:t xml:space="preserve">, </w:t>
      </w:r>
      <w:r w:rsidR="0098547F" w:rsidRPr="0098547F">
        <w:rPr>
          <w:rFonts w:ascii="Garamond" w:hAnsi="Garamond"/>
          <w:i/>
          <w:iCs/>
          <w:noProof/>
        </w:rPr>
        <w:t>2</w:t>
      </w:r>
      <w:r w:rsidR="0098547F" w:rsidRPr="0098547F">
        <w:rPr>
          <w:rFonts w:ascii="Garamond" w:hAnsi="Garamond"/>
          <w:noProof/>
        </w:rPr>
        <w:t>(4), 31–35.</w:t>
      </w:r>
    </w:p>
    <w:p w14:paraId="66A3109F" w14:textId="77777777" w:rsidR="0098547F" w:rsidRPr="0098547F" w:rsidRDefault="0098547F" w:rsidP="0098547F">
      <w:pPr>
        <w:widowControl w:val="0"/>
        <w:autoSpaceDE w:val="0"/>
        <w:autoSpaceDN w:val="0"/>
        <w:adjustRightInd w:val="0"/>
        <w:ind w:left="480" w:hanging="480"/>
        <w:rPr>
          <w:rFonts w:ascii="Garamond" w:hAnsi="Garamond"/>
          <w:noProof/>
        </w:rPr>
      </w:pPr>
      <w:r w:rsidRPr="0098547F">
        <w:rPr>
          <w:rFonts w:ascii="Garamond" w:hAnsi="Garamond"/>
          <w:noProof/>
        </w:rPr>
        <w:t xml:space="preserve">Lamya, L., Fauzia, J., &amp; Shilpa, I. (2020). Prioritising theme park service quality in Islamic contexts: an analytic hierarchy process approach. </w:t>
      </w:r>
      <w:r w:rsidRPr="0098547F">
        <w:rPr>
          <w:rFonts w:ascii="Garamond" w:hAnsi="Garamond"/>
          <w:i/>
          <w:iCs/>
          <w:noProof/>
        </w:rPr>
        <w:t>International Journal of Culture, Tourism and Hospitality Research</w:t>
      </w:r>
      <w:r w:rsidRPr="0098547F">
        <w:rPr>
          <w:rFonts w:ascii="Garamond" w:hAnsi="Garamond"/>
          <w:noProof/>
        </w:rPr>
        <w:t xml:space="preserve">, </w:t>
      </w:r>
      <w:r w:rsidRPr="0098547F">
        <w:rPr>
          <w:rFonts w:ascii="Garamond" w:hAnsi="Garamond"/>
          <w:i/>
          <w:iCs/>
          <w:noProof/>
        </w:rPr>
        <w:t>14</w:t>
      </w:r>
      <w:r w:rsidRPr="0098547F">
        <w:rPr>
          <w:rFonts w:ascii="Garamond" w:hAnsi="Garamond"/>
          <w:noProof/>
        </w:rPr>
        <w:t>(2), 225–237. https://doi.org/10.1108/IJCTHR-10-2018-0147</w:t>
      </w:r>
    </w:p>
    <w:p w14:paraId="18C17F67" w14:textId="77777777" w:rsidR="0098547F" w:rsidRPr="0098547F" w:rsidRDefault="0098547F" w:rsidP="0098547F">
      <w:pPr>
        <w:widowControl w:val="0"/>
        <w:autoSpaceDE w:val="0"/>
        <w:autoSpaceDN w:val="0"/>
        <w:adjustRightInd w:val="0"/>
        <w:ind w:left="480" w:hanging="480"/>
        <w:rPr>
          <w:rFonts w:ascii="Garamond" w:hAnsi="Garamond"/>
          <w:noProof/>
        </w:rPr>
      </w:pPr>
      <w:r w:rsidRPr="0098547F">
        <w:rPr>
          <w:rFonts w:ascii="Garamond" w:hAnsi="Garamond"/>
          <w:noProof/>
        </w:rPr>
        <w:t xml:space="preserve">Macale, A. M. B., &amp; Nieves, P. M. (2019). Stakeholders ’ perception on the s tatus of blue swimming crabs Portunus pelagicus ( Linnaeus , 1758 ) and performance of lying-in hatchery concept in San Miguel Bay , Philippines. </w:t>
      </w:r>
      <w:r w:rsidRPr="0098547F">
        <w:rPr>
          <w:rFonts w:ascii="Garamond" w:hAnsi="Garamond"/>
          <w:i/>
          <w:iCs/>
          <w:noProof/>
        </w:rPr>
        <w:t>AACL Bioflux</w:t>
      </w:r>
      <w:r w:rsidRPr="0098547F">
        <w:rPr>
          <w:rFonts w:ascii="Garamond" w:hAnsi="Garamond"/>
          <w:noProof/>
        </w:rPr>
        <w:t xml:space="preserve">, </w:t>
      </w:r>
      <w:r w:rsidRPr="0098547F">
        <w:rPr>
          <w:rFonts w:ascii="Garamond" w:hAnsi="Garamond"/>
          <w:i/>
          <w:iCs/>
          <w:noProof/>
        </w:rPr>
        <w:t>12</w:t>
      </w:r>
      <w:r w:rsidRPr="0098547F">
        <w:rPr>
          <w:rFonts w:ascii="Garamond" w:hAnsi="Garamond"/>
          <w:noProof/>
        </w:rPr>
        <w:t>(2), 2017–2020.</w:t>
      </w:r>
    </w:p>
    <w:p w14:paraId="52414B83" w14:textId="77777777" w:rsidR="0098547F" w:rsidRPr="0098547F" w:rsidRDefault="0098547F" w:rsidP="0098547F">
      <w:pPr>
        <w:widowControl w:val="0"/>
        <w:autoSpaceDE w:val="0"/>
        <w:autoSpaceDN w:val="0"/>
        <w:adjustRightInd w:val="0"/>
        <w:ind w:left="480" w:hanging="480"/>
        <w:rPr>
          <w:rFonts w:ascii="Garamond" w:hAnsi="Garamond"/>
          <w:noProof/>
        </w:rPr>
      </w:pPr>
      <w:r w:rsidRPr="0098547F">
        <w:rPr>
          <w:rFonts w:ascii="Garamond" w:hAnsi="Garamond"/>
          <w:noProof/>
        </w:rPr>
        <w:t xml:space="preserve">Sugianto, D. N., Widada, S., Wirastriya, A., Ismanto, A., Hartati, R., Widianingsih, … Suripin. (2020). A framework for plans permeable breakwater eco-friendly building identification and characteristics materials construction study case at Demak Village. </w:t>
      </w:r>
      <w:r w:rsidRPr="0098547F">
        <w:rPr>
          <w:rFonts w:ascii="Garamond" w:hAnsi="Garamond"/>
          <w:i/>
          <w:iCs/>
          <w:noProof/>
        </w:rPr>
        <w:t>Advances in Science, Technology and Engineering Systems</w:t>
      </w:r>
      <w:r w:rsidRPr="0098547F">
        <w:rPr>
          <w:rFonts w:ascii="Garamond" w:hAnsi="Garamond"/>
          <w:noProof/>
        </w:rPr>
        <w:t xml:space="preserve">, </w:t>
      </w:r>
      <w:r w:rsidRPr="0098547F">
        <w:rPr>
          <w:rFonts w:ascii="Garamond" w:hAnsi="Garamond"/>
          <w:i/>
          <w:iCs/>
          <w:noProof/>
        </w:rPr>
        <w:t>5</w:t>
      </w:r>
      <w:r w:rsidRPr="0098547F">
        <w:rPr>
          <w:rFonts w:ascii="Garamond" w:hAnsi="Garamond"/>
          <w:noProof/>
        </w:rPr>
        <w:t>(2), 235–240. https://doi.org/10.25046/aj050230</w:t>
      </w:r>
    </w:p>
    <w:p w14:paraId="2DFACA2A" w14:textId="77777777" w:rsidR="0098547F" w:rsidRPr="0098547F" w:rsidRDefault="0098547F" w:rsidP="0098547F">
      <w:pPr>
        <w:widowControl w:val="0"/>
        <w:autoSpaceDE w:val="0"/>
        <w:autoSpaceDN w:val="0"/>
        <w:adjustRightInd w:val="0"/>
        <w:ind w:left="480" w:hanging="480"/>
        <w:rPr>
          <w:rFonts w:ascii="Garamond" w:hAnsi="Garamond"/>
          <w:noProof/>
        </w:rPr>
      </w:pPr>
      <w:r w:rsidRPr="0098547F">
        <w:rPr>
          <w:rFonts w:ascii="Garamond" w:hAnsi="Garamond"/>
          <w:noProof/>
        </w:rPr>
        <w:lastRenderedPageBreak/>
        <w:t xml:space="preserve">Utami, W., Wibowo, Y. A., Hadi, A. H., &amp; Permadi, F. B. (2021). The impact of mangrove damage on tidal flooding in the subdistrict of Tugu, Semarang, Central Java. </w:t>
      </w:r>
      <w:r w:rsidRPr="0098547F">
        <w:rPr>
          <w:rFonts w:ascii="Garamond" w:hAnsi="Garamond"/>
          <w:i/>
          <w:iCs/>
          <w:noProof/>
        </w:rPr>
        <w:t>Journal of Degraded and Mining Lands Management</w:t>
      </w:r>
      <w:r w:rsidRPr="0098547F">
        <w:rPr>
          <w:rFonts w:ascii="Garamond" w:hAnsi="Garamond"/>
          <w:noProof/>
        </w:rPr>
        <w:t xml:space="preserve">, </w:t>
      </w:r>
      <w:r w:rsidRPr="0098547F">
        <w:rPr>
          <w:rFonts w:ascii="Garamond" w:hAnsi="Garamond"/>
          <w:i/>
          <w:iCs/>
          <w:noProof/>
        </w:rPr>
        <w:t>9</w:t>
      </w:r>
      <w:r w:rsidRPr="0098547F">
        <w:rPr>
          <w:rFonts w:ascii="Garamond" w:hAnsi="Garamond"/>
          <w:noProof/>
        </w:rPr>
        <w:t>(1), 3093–3105. https://doi.org/10.15243/jdmlm.2021.091.3093</w:t>
      </w:r>
    </w:p>
    <w:p w14:paraId="092A847A" w14:textId="77777777" w:rsidR="0098547F" w:rsidRPr="0098547F" w:rsidRDefault="0098547F" w:rsidP="0098547F">
      <w:pPr>
        <w:widowControl w:val="0"/>
        <w:autoSpaceDE w:val="0"/>
        <w:autoSpaceDN w:val="0"/>
        <w:adjustRightInd w:val="0"/>
        <w:ind w:left="480" w:hanging="480"/>
        <w:rPr>
          <w:rFonts w:ascii="Garamond" w:hAnsi="Garamond"/>
          <w:noProof/>
        </w:rPr>
      </w:pPr>
      <w:r w:rsidRPr="0098547F">
        <w:rPr>
          <w:rFonts w:ascii="Garamond" w:hAnsi="Garamond"/>
          <w:noProof/>
        </w:rPr>
        <w:t xml:space="preserve">Wartono, A., Muntasib, E. K. S. H., &amp; Arifin, H. S. (2022). Tourism Potential in West Beach Coastal Area of Banten Province Based on Land Use Spatial Pattern. </w:t>
      </w:r>
      <w:r w:rsidRPr="0098547F">
        <w:rPr>
          <w:rFonts w:ascii="Garamond" w:hAnsi="Garamond"/>
          <w:i/>
          <w:iCs/>
          <w:noProof/>
        </w:rPr>
        <w:t>IOP Conference Series: Earth and Environmental Science</w:t>
      </w:r>
      <w:r w:rsidRPr="0098547F">
        <w:rPr>
          <w:rFonts w:ascii="Garamond" w:hAnsi="Garamond"/>
          <w:noProof/>
        </w:rPr>
        <w:t xml:space="preserve">, </w:t>
      </w:r>
      <w:r w:rsidRPr="0098547F">
        <w:rPr>
          <w:rFonts w:ascii="Garamond" w:hAnsi="Garamond"/>
          <w:i/>
          <w:iCs/>
          <w:noProof/>
        </w:rPr>
        <w:t>950</w:t>
      </w:r>
      <w:r w:rsidRPr="0098547F">
        <w:rPr>
          <w:rFonts w:ascii="Garamond" w:hAnsi="Garamond"/>
          <w:noProof/>
        </w:rPr>
        <w:t>(1). https://doi.org/10.1088/1755-1315/950/1/012073</w:t>
      </w:r>
    </w:p>
    <w:p w14:paraId="3F290048" w14:textId="77777777" w:rsidR="0098547F" w:rsidRPr="0098547F" w:rsidRDefault="0098547F" w:rsidP="0098547F">
      <w:pPr>
        <w:widowControl w:val="0"/>
        <w:autoSpaceDE w:val="0"/>
        <w:autoSpaceDN w:val="0"/>
        <w:adjustRightInd w:val="0"/>
        <w:ind w:left="480" w:hanging="480"/>
        <w:rPr>
          <w:rFonts w:ascii="Garamond" w:hAnsi="Garamond"/>
          <w:noProof/>
        </w:rPr>
      </w:pPr>
      <w:r w:rsidRPr="0098547F">
        <w:rPr>
          <w:rFonts w:ascii="Garamond" w:hAnsi="Garamond"/>
          <w:noProof/>
        </w:rPr>
        <w:t>Wenham, A. (2019). “ Wish you were here ”? Geographies of exclusion</w:t>
      </w:r>
      <w:r w:rsidRPr="0098547F">
        <w:rPr>
          <w:noProof/>
        </w:rPr>
        <w:t> </w:t>
      </w:r>
      <w:r w:rsidRPr="0098547F">
        <w:rPr>
          <w:rFonts w:ascii="Garamond" w:hAnsi="Garamond"/>
          <w:noProof/>
        </w:rPr>
        <w:t xml:space="preserve">: young people , coastal towns and marginality. </w:t>
      </w:r>
      <w:r w:rsidRPr="0098547F">
        <w:rPr>
          <w:rFonts w:ascii="Garamond" w:hAnsi="Garamond"/>
          <w:i/>
          <w:iCs/>
          <w:noProof/>
        </w:rPr>
        <w:t>Journal of Youth Studies</w:t>
      </w:r>
      <w:r w:rsidRPr="0098547F">
        <w:rPr>
          <w:rFonts w:ascii="Garamond" w:hAnsi="Garamond"/>
          <w:noProof/>
        </w:rPr>
        <w:t xml:space="preserve">, </w:t>
      </w:r>
      <w:r w:rsidRPr="0098547F">
        <w:rPr>
          <w:rFonts w:ascii="Garamond" w:hAnsi="Garamond"/>
          <w:i/>
          <w:iCs/>
          <w:noProof/>
        </w:rPr>
        <w:t>0</w:t>
      </w:r>
      <w:r w:rsidRPr="0098547F">
        <w:rPr>
          <w:rFonts w:ascii="Garamond" w:hAnsi="Garamond"/>
          <w:noProof/>
        </w:rPr>
        <w:t>(0), 1–17. https://doi.org/10.1080/13676261.2019.1704408</w:t>
      </w:r>
    </w:p>
    <w:p w14:paraId="22FC9A55" w14:textId="77777777" w:rsidR="0098547F" w:rsidRPr="0098547F" w:rsidRDefault="0098547F" w:rsidP="0098547F">
      <w:pPr>
        <w:widowControl w:val="0"/>
        <w:autoSpaceDE w:val="0"/>
        <w:autoSpaceDN w:val="0"/>
        <w:adjustRightInd w:val="0"/>
        <w:ind w:left="480" w:hanging="480"/>
        <w:rPr>
          <w:rFonts w:ascii="Garamond" w:hAnsi="Garamond"/>
          <w:noProof/>
        </w:rPr>
      </w:pPr>
      <w:r w:rsidRPr="0098547F">
        <w:rPr>
          <w:rFonts w:ascii="Garamond" w:hAnsi="Garamond"/>
          <w:noProof/>
        </w:rPr>
        <w:t xml:space="preserve">Zhao, Y., &amp; Li, Y. (2023). Blue transition for sustainable marine fisheries: Critical drivers and evidence from China. </w:t>
      </w:r>
      <w:r w:rsidRPr="0098547F">
        <w:rPr>
          <w:rFonts w:ascii="Garamond" w:hAnsi="Garamond"/>
          <w:i/>
          <w:iCs/>
          <w:noProof/>
        </w:rPr>
        <w:t>Journal of Cleaner Production</w:t>
      </w:r>
      <w:r w:rsidRPr="0098547F">
        <w:rPr>
          <w:rFonts w:ascii="Garamond" w:hAnsi="Garamond"/>
          <w:noProof/>
        </w:rPr>
        <w:t xml:space="preserve">, </w:t>
      </w:r>
      <w:r w:rsidRPr="0098547F">
        <w:rPr>
          <w:rFonts w:ascii="Garamond" w:hAnsi="Garamond"/>
          <w:i/>
          <w:iCs/>
          <w:noProof/>
        </w:rPr>
        <w:t>421</w:t>
      </w:r>
      <w:r w:rsidRPr="0098547F">
        <w:rPr>
          <w:rFonts w:ascii="Garamond" w:hAnsi="Garamond"/>
          <w:noProof/>
        </w:rPr>
        <w:t>(June), 138535. https://doi.org/10.1016/j.jclepro.2023.138535</w:t>
      </w:r>
    </w:p>
    <w:p w14:paraId="2DDF275F" w14:textId="6FEAA7E0" w:rsidR="00962E04" w:rsidRPr="00962E04" w:rsidRDefault="00962E04" w:rsidP="00962E04">
      <w:pPr>
        <w:rPr>
          <w:lang w:val="en-US"/>
        </w:rPr>
      </w:pPr>
      <w:r>
        <w:rPr>
          <w:lang w:val="en-US"/>
        </w:rPr>
        <w:fldChar w:fldCharType="end"/>
      </w:r>
    </w:p>
    <w:p w14:paraId="29CA77E2" w14:textId="4957C92A" w:rsidR="00962E04" w:rsidRPr="00754EE0" w:rsidRDefault="00962E04" w:rsidP="007043BA">
      <w:pPr>
        <w:ind w:firstLine="0"/>
        <w:rPr>
          <w:rFonts w:ascii="Garamond" w:hAnsi="Garamond"/>
        </w:rPr>
      </w:pPr>
    </w:p>
    <w:sectPr w:rsidR="00962E04" w:rsidRPr="00754EE0" w:rsidSect="002B23FF">
      <w:headerReference w:type="even" r:id="rId13"/>
      <w:headerReference w:type="default" r:id="rId14"/>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09EBA" w14:textId="77777777" w:rsidR="00C473EE" w:rsidRDefault="00C473EE">
      <w:r>
        <w:separator/>
      </w:r>
    </w:p>
  </w:endnote>
  <w:endnote w:type="continuationSeparator" w:id="0">
    <w:p w14:paraId="7B465D36" w14:textId="77777777" w:rsidR="00C473EE" w:rsidRDefault="00C4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98C0" w14:textId="52007100" w:rsidR="00E66344" w:rsidRPr="00A75C5B" w:rsidRDefault="00E66344" w:rsidP="00CB2316">
    <w:pPr>
      <w:pStyle w:val="Footer"/>
      <w:framePr w:w="510" w:h="227" w:hRule="exact" w:wrap="around" w:vAnchor="text" w:hAnchor="page" w:x="1696" w:y="52"/>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sidR="00DA713F">
      <w:rPr>
        <w:rStyle w:val="PageNumber"/>
        <w:noProof/>
        <w:sz w:val="16"/>
        <w:szCs w:val="16"/>
      </w:rPr>
      <w:t>4</w:t>
    </w:r>
    <w:r w:rsidRPr="00A75C5B">
      <w:rPr>
        <w:rStyle w:val="PageNumber"/>
        <w:sz w:val="16"/>
        <w:szCs w:val="16"/>
      </w:rPr>
      <w:fldChar w:fldCharType="end"/>
    </w:r>
  </w:p>
  <w:p w14:paraId="6396DAE2" w14:textId="133A64C2" w:rsidR="00E66344" w:rsidRPr="0098523F" w:rsidRDefault="00E66344" w:rsidP="00CB2316">
    <w:pPr>
      <w:pStyle w:val="Footer"/>
      <w:pBdr>
        <w:top w:val="single" w:sz="12" w:space="1" w:color="auto"/>
      </w:pBdr>
      <w:ind w:firstLine="0"/>
      <w:jc w:val="right"/>
      <w:rPr>
        <w:sz w:val="16"/>
        <w:szCs w:val="16"/>
      </w:rPr>
    </w:pPr>
    <w:r w:rsidRPr="00E45CA4">
      <w:rPr>
        <w:sz w:val="16"/>
        <w:szCs w:val="16"/>
      </w:rPr>
      <w:t>©</w:t>
    </w:r>
    <w:r>
      <w:rPr>
        <w:sz w:val="16"/>
        <w:szCs w:val="16"/>
        <w:lang w:val="en-US"/>
      </w:rPr>
      <w:t>2023 at http://sintasan.upstegal.ac.id/</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D1636" w14:textId="563BBC73" w:rsidR="00E66344" w:rsidRPr="00EE18F7" w:rsidRDefault="00E66344" w:rsidP="003B0AEE">
    <w:pPr>
      <w:pBdr>
        <w:top w:val="single" w:sz="6" w:space="1" w:color="auto"/>
      </w:pBdr>
      <w:ind w:firstLine="0"/>
      <w:rPr>
        <w:rFonts w:ascii="Garamond" w:hAnsi="Garamond"/>
        <w:i/>
        <w:sz w:val="16"/>
        <w:szCs w:val="16"/>
        <w:lang w:val="en-US"/>
      </w:rPr>
    </w:pPr>
    <w:r w:rsidRPr="00EE18F7">
      <w:rPr>
        <w:rFonts w:ascii="Garamond" w:hAnsi="Garamond"/>
        <w:i/>
        <w:sz w:val="16"/>
        <w:szCs w:val="16"/>
        <w:lang w:val="en-US"/>
      </w:rPr>
      <w:t>Article history:</w:t>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t xml:space="preserve">          </w:t>
    </w:r>
    <w:r w:rsidRPr="00EE18F7">
      <w:rPr>
        <w:rFonts w:ascii="Garamond" w:hAnsi="Garamond"/>
        <w:sz w:val="16"/>
        <w:szCs w:val="16"/>
        <w:lang w:val="en-US"/>
      </w:rPr>
      <w:t>©202</w:t>
    </w:r>
    <w:r>
      <w:rPr>
        <w:rFonts w:ascii="Garamond" w:hAnsi="Garamond"/>
        <w:sz w:val="16"/>
        <w:szCs w:val="16"/>
        <w:lang w:val="en-US"/>
      </w:rPr>
      <w:t>3</w:t>
    </w:r>
    <w:r w:rsidRPr="00EE18F7">
      <w:rPr>
        <w:rFonts w:ascii="Garamond" w:hAnsi="Garamond"/>
        <w:sz w:val="16"/>
        <w:szCs w:val="16"/>
        <w:lang w:val="en-US"/>
      </w:rPr>
      <w:t>at https://sintasan.upstegal.ac.id/</w:t>
    </w:r>
  </w:p>
  <w:p w14:paraId="2789EFC2" w14:textId="77777777" w:rsidR="00E66344" w:rsidRPr="00EE18F7" w:rsidRDefault="00E66344"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Diterima / </w:t>
    </w:r>
    <w:r w:rsidRPr="00EE18F7">
      <w:rPr>
        <w:rFonts w:ascii="Garamond" w:hAnsi="Garamond"/>
        <w:i/>
        <w:sz w:val="16"/>
        <w:szCs w:val="16"/>
        <w:lang w:val="en-US"/>
      </w:rPr>
      <w:t>Received xx xxxx xxxx</w:t>
    </w:r>
  </w:p>
  <w:p w14:paraId="71BFACA8" w14:textId="77777777" w:rsidR="00E66344" w:rsidRPr="00EE18F7" w:rsidRDefault="00E66344"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Disetujui / </w:t>
    </w:r>
    <w:r w:rsidRPr="00EE18F7">
      <w:rPr>
        <w:rFonts w:ascii="Garamond" w:hAnsi="Garamond"/>
        <w:i/>
        <w:sz w:val="16"/>
        <w:szCs w:val="16"/>
        <w:lang w:val="en-US"/>
      </w:rPr>
      <w:t>Accepted xx xxxx xxxx</w:t>
    </w:r>
  </w:p>
  <w:p w14:paraId="614F984C" w14:textId="77777777" w:rsidR="00E66344" w:rsidRPr="00EE18F7" w:rsidRDefault="00E66344"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Diterbitkan / </w:t>
    </w:r>
    <w:r w:rsidRPr="00EE18F7">
      <w:rPr>
        <w:rFonts w:ascii="Garamond" w:hAnsi="Garamond"/>
        <w:i/>
        <w:sz w:val="16"/>
        <w:szCs w:val="16"/>
        <w:lang w:val="en-US"/>
      </w:rPr>
      <w:t>Published xx xxxx xxxx</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F08D7" w14:textId="77777777" w:rsidR="00C473EE" w:rsidRDefault="00C473EE">
      <w:r>
        <w:separator/>
      </w:r>
    </w:p>
  </w:footnote>
  <w:footnote w:type="continuationSeparator" w:id="0">
    <w:p w14:paraId="01DC93E7" w14:textId="77777777" w:rsidR="00C473EE" w:rsidRDefault="00C473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74AE6" w14:textId="77777777" w:rsidR="00E66344" w:rsidRPr="00A75C5B" w:rsidRDefault="00E66344"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3701454D" w14:textId="77777777" w:rsidR="00E66344" w:rsidRPr="00725544" w:rsidRDefault="00E66344"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6704" behindDoc="0" locked="0" layoutInCell="1" allowOverlap="1" wp14:anchorId="7D65F953" wp14:editId="4C1AE188">
              <wp:simplePos x="0" y="0"/>
              <wp:positionH relativeFrom="column">
                <wp:posOffset>5715</wp:posOffset>
              </wp:positionH>
              <wp:positionV relativeFrom="paragraph">
                <wp:posOffset>179704</wp:posOffset>
              </wp:positionV>
              <wp:extent cx="5957570" cy="0"/>
              <wp:effectExtent l="0" t="0" r="24130" b="19050"/>
              <wp:wrapNone/>
              <wp:docPr id="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D4A8312" id="_x0000_t32" coordsize="21600,21600" o:spt="32" o:oned="t" path="m,l21600,21600e" filled="f">
              <v:path arrowok="t" fillok="f" o:connecttype="none"/>
              <o:lock v:ext="edit" shapetype="t"/>
            </v:shapetype>
            <v:shape id="AutoShape 115" o:spid="_x0000_s1026" type="#_x0000_t32" style="position:absolute;margin-left:.45pt;margin-top:14.15pt;width:469.1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vRD1zc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Authors</w:t>
    </w:r>
    <w:r w:rsidRPr="006C2FC7">
      <w:rPr>
        <w:i/>
        <w:sz w:val="16"/>
        <w:szCs w:val="16"/>
        <w:lang w:val="en-US"/>
      </w:rPr>
      <w:t>/ Mechatronics, Electrical Power, and Vehicular Technology</w:t>
    </w:r>
    <w:r>
      <w:rPr>
        <w:i/>
        <w:sz w:val="16"/>
        <w:szCs w:val="16"/>
        <w:lang w:val="en-US"/>
      </w:rPr>
      <w:t>XX</w:t>
    </w:r>
    <w:r w:rsidRPr="006C2FC7">
      <w:rPr>
        <w:i/>
        <w:sz w:val="16"/>
        <w:szCs w:val="16"/>
      </w:rPr>
      <w:t xml:space="preserve"> (20</w:t>
    </w:r>
    <w:r>
      <w:rPr>
        <w:i/>
        <w:sz w:val="16"/>
        <w:szCs w:val="16"/>
        <w:lang w:val="en-US"/>
      </w:rPr>
      <w:t>XX</w:t>
    </w:r>
    <w:r w:rsidRPr="006C2FC7">
      <w:rPr>
        <w:i/>
        <w:sz w:val="16"/>
        <w:szCs w:val="16"/>
      </w:rPr>
      <w:t xml:space="preserve">) </w:t>
    </w:r>
    <w:r>
      <w:rPr>
        <w:i/>
        <w:sz w:val="16"/>
        <w:szCs w:val="16"/>
        <w:lang w:val="en-US"/>
      </w:rPr>
      <w:t>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513C9" w14:textId="77777777" w:rsidR="00E66344" w:rsidRPr="00DE6922" w:rsidRDefault="00E66344" w:rsidP="003B0AEE">
    <w:pPr>
      <w:pStyle w:val="Header"/>
      <w:tabs>
        <w:tab w:val="clear" w:pos="4153"/>
        <w:tab w:val="clear" w:pos="8306"/>
        <w:tab w:val="right" w:pos="9355"/>
      </w:tabs>
      <w:ind w:firstLine="0"/>
      <w:jc w:val="center"/>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180A0" w14:textId="77777777" w:rsidR="00E66344" w:rsidRDefault="00E66344" w:rsidP="003B0AEE">
    <w:pPr>
      <w:pStyle w:val="Header"/>
      <w:ind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1D91" w14:textId="77777777" w:rsidR="00E66344" w:rsidRPr="00A75C5B" w:rsidRDefault="00E66344"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E66344" w:rsidRPr="00725544" w:rsidRDefault="00E66344"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8126125"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9EteYs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 xml:space="preserve">First Author </w:t>
    </w:r>
    <w:r>
      <w:rPr>
        <w:i/>
        <w:sz w:val="16"/>
        <w:szCs w:val="16"/>
        <w:lang w:val="en-US"/>
      </w:rPr>
      <w:t xml:space="preserve">et al. </w:t>
    </w:r>
    <w:r w:rsidRPr="006C2FC7">
      <w:rPr>
        <w:i/>
        <w:sz w:val="16"/>
        <w:szCs w:val="16"/>
        <w:lang w:val="en-US"/>
      </w:rPr>
      <w:t xml:space="preserve">/ </w:t>
    </w:r>
    <w:r>
      <w:rPr>
        <w:i/>
        <w:sz w:val="16"/>
        <w:szCs w:val="16"/>
        <w:lang w:val="en-US"/>
      </w:rPr>
      <w:t xml:space="preserve">Journal of Fisheries and Marine Science </w:t>
    </w:r>
    <w:proofErr w:type="gramStart"/>
    <w:r>
      <w:rPr>
        <w:i/>
        <w:sz w:val="16"/>
        <w:szCs w:val="16"/>
        <w:lang w:val="en-US"/>
      </w:rPr>
      <w:t>XX</w:t>
    </w:r>
    <w:r w:rsidRPr="006C2FC7">
      <w:rPr>
        <w:i/>
        <w:sz w:val="16"/>
        <w:szCs w:val="16"/>
      </w:rPr>
      <w:t>(</w:t>
    </w:r>
    <w:proofErr w:type="gramEnd"/>
    <w:r w:rsidRPr="006C2FC7">
      <w:rPr>
        <w:i/>
        <w:sz w:val="16"/>
        <w:szCs w:val="16"/>
      </w:rPr>
      <w:t>20</w:t>
    </w:r>
    <w:r>
      <w:rPr>
        <w:i/>
        <w:sz w:val="16"/>
        <w:szCs w:val="16"/>
        <w:lang w:val="en-US"/>
      </w:rPr>
      <w:t>XX</w:t>
    </w:r>
    <w:r w:rsidRPr="006C2FC7">
      <w:rPr>
        <w:i/>
        <w:sz w:val="16"/>
        <w:szCs w:val="16"/>
      </w:rPr>
      <w:t xml:space="preserve">) </w:t>
    </w:r>
    <w:r>
      <w:rPr>
        <w:i/>
        <w:sz w:val="16"/>
        <w:szCs w:val="16"/>
        <w:lang w:val="en-US"/>
      </w:rPr>
      <w:t>XX-XX</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7810" w14:textId="5B62A960" w:rsidR="00E66344" w:rsidRPr="00EE18F7" w:rsidRDefault="00E66344" w:rsidP="003B0AEE">
    <w:pPr>
      <w:pStyle w:val="Header"/>
      <w:tabs>
        <w:tab w:val="clear" w:pos="4153"/>
        <w:tab w:val="clear" w:pos="8306"/>
        <w:tab w:val="right" w:pos="9355"/>
      </w:tabs>
      <w:ind w:firstLine="0"/>
      <w:jc w:val="center"/>
      <w:rPr>
        <w:rFonts w:ascii="Garamond" w:hAnsi="Garamond"/>
        <w:i/>
        <w:sz w:val="20"/>
        <w:szCs w:val="20"/>
        <w:lang w:val="en-US"/>
      </w:rPr>
    </w:pPr>
    <w:r w:rsidRPr="00EE18F7">
      <w:rPr>
        <w:rFonts w:ascii="Garamond" w:hAnsi="Garamond"/>
        <w:i/>
        <w:noProof/>
        <w:sz w:val="20"/>
        <w:szCs w:val="20"/>
        <w:lang w:val="en-US" w:eastAsia="ko-KR"/>
      </w:rPr>
      <w:t>First Author (Last name, Initial first name</w:t>
    </w:r>
    <w:r w:rsidRPr="00EE18F7">
      <w:rPr>
        <w:rFonts w:ascii="Garamond" w:hAnsi="Garamond"/>
        <w:i/>
        <w:sz w:val="20"/>
        <w:szCs w:val="20"/>
        <w:lang w:val="en-US"/>
      </w:rPr>
      <w:t xml:space="preserve"> et al.) / </w:t>
    </w:r>
    <w:r>
      <w:rPr>
        <w:rFonts w:ascii="Garamond" w:hAnsi="Garamond"/>
        <w:i/>
        <w:sz w:val="20"/>
        <w:szCs w:val="20"/>
        <w:lang w:val="en-US"/>
      </w:rPr>
      <w:t>Sains dan Teknologi Budidaya Perairan</w:t>
    </w:r>
    <w:r w:rsidRPr="00EE18F7">
      <w:rPr>
        <w:rFonts w:ascii="Garamond" w:hAnsi="Garamond"/>
        <w:i/>
        <w:sz w:val="20"/>
        <w:szCs w:val="20"/>
        <w:lang w:val="en-US"/>
      </w:rPr>
      <w:t xml:space="preserve"> </w:t>
    </w:r>
    <w:proofErr w:type="gramStart"/>
    <w:r w:rsidRPr="00EE18F7">
      <w:rPr>
        <w:rFonts w:ascii="Garamond" w:hAnsi="Garamond"/>
        <w:i/>
        <w:sz w:val="20"/>
        <w:szCs w:val="20"/>
        <w:lang w:val="en-US"/>
      </w:rPr>
      <w:t>XX</w:t>
    </w:r>
    <w:r w:rsidRPr="00EE18F7">
      <w:rPr>
        <w:rFonts w:ascii="Garamond" w:hAnsi="Garamond"/>
        <w:i/>
        <w:sz w:val="20"/>
        <w:szCs w:val="20"/>
      </w:rPr>
      <w:t>(</w:t>
    </w:r>
    <w:proofErr w:type="gramEnd"/>
    <w:r w:rsidRPr="00EE18F7">
      <w:rPr>
        <w:rFonts w:ascii="Garamond" w:hAnsi="Garamond"/>
        <w:i/>
        <w:sz w:val="20"/>
        <w:szCs w:val="20"/>
      </w:rPr>
      <w:t>20</w:t>
    </w:r>
    <w:r w:rsidRPr="00EE18F7">
      <w:rPr>
        <w:rFonts w:ascii="Garamond" w:hAnsi="Garamond"/>
        <w:i/>
        <w:sz w:val="20"/>
        <w:szCs w:val="20"/>
        <w:lang w:val="en-US"/>
      </w:rPr>
      <w:t>XX</w:t>
    </w:r>
    <w:r w:rsidRPr="00EE18F7">
      <w:rPr>
        <w:rFonts w:ascii="Garamond" w:hAnsi="Garamond"/>
        <w:i/>
        <w:sz w:val="20"/>
        <w:szCs w:val="20"/>
      </w:rPr>
      <w:t xml:space="preserve">) </w:t>
    </w:r>
    <w:r w:rsidRPr="00EE18F7">
      <w:rPr>
        <w:rFonts w:ascii="Garamond" w:hAnsi="Garamond"/>
        <w:i/>
        <w:sz w:val="20"/>
        <w:szCs w:val="20"/>
        <w:lang w:val="en-US"/>
      </w:rPr>
      <w:t>XX-XX</w:t>
    </w:r>
  </w:p>
  <w:p w14:paraId="425BEF1B" w14:textId="77777777" w:rsidR="00E66344" w:rsidRPr="00EE18F7" w:rsidRDefault="00E66344">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F716A0D"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VqygEAAHwDAAAOAAAAZHJzL2Uyb0RvYy54bWysU02P0zAQvSPxHyzfadqK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18B6207"/>
    <w:multiLevelType w:val="hybridMultilevel"/>
    <w:tmpl w:val="F8D0EF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CE7B10"/>
    <w:multiLevelType w:val="hybridMultilevel"/>
    <w:tmpl w:val="57084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837912"/>
    <w:multiLevelType w:val="hybridMultilevel"/>
    <w:tmpl w:val="F7C869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7" w15:restartNumberingAfterBreak="0">
    <w:nsid w:val="777B7F2A"/>
    <w:multiLevelType w:val="hybridMultilevel"/>
    <w:tmpl w:val="65446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6"/>
  </w:num>
  <w:num w:numId="7">
    <w:abstractNumId w:val="6"/>
  </w:num>
  <w:num w:numId="8">
    <w:abstractNumId w:val="6"/>
  </w:num>
  <w:num w:numId="9">
    <w:abstractNumId w:val="7"/>
  </w:num>
  <w:num w:numId="10">
    <w:abstractNumId w:val="3"/>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0D"/>
    <w:rsid w:val="000471E4"/>
    <w:rsid w:val="000A0D4F"/>
    <w:rsid w:val="000B20DC"/>
    <w:rsid w:val="000D791D"/>
    <w:rsid w:val="000E0E3E"/>
    <w:rsid w:val="000E79EB"/>
    <w:rsid w:val="00111E5E"/>
    <w:rsid w:val="0016139F"/>
    <w:rsid w:val="0017483A"/>
    <w:rsid w:val="001B65D1"/>
    <w:rsid w:val="001E0B73"/>
    <w:rsid w:val="001E32D4"/>
    <w:rsid w:val="00212A65"/>
    <w:rsid w:val="00217C65"/>
    <w:rsid w:val="00225520"/>
    <w:rsid w:val="002461A8"/>
    <w:rsid w:val="002B023E"/>
    <w:rsid w:val="002B23FF"/>
    <w:rsid w:val="002B54F9"/>
    <w:rsid w:val="00326FE4"/>
    <w:rsid w:val="003669F6"/>
    <w:rsid w:val="003A0118"/>
    <w:rsid w:val="003A5D0A"/>
    <w:rsid w:val="003A6D2E"/>
    <w:rsid w:val="003B0AEE"/>
    <w:rsid w:val="003C1DD7"/>
    <w:rsid w:val="003E5E5D"/>
    <w:rsid w:val="003F6B7B"/>
    <w:rsid w:val="00424B5F"/>
    <w:rsid w:val="00456FFB"/>
    <w:rsid w:val="005250EE"/>
    <w:rsid w:val="00584C26"/>
    <w:rsid w:val="005A712B"/>
    <w:rsid w:val="005C1945"/>
    <w:rsid w:val="005D45A1"/>
    <w:rsid w:val="005F7234"/>
    <w:rsid w:val="006015A5"/>
    <w:rsid w:val="00697E9E"/>
    <w:rsid w:val="006D1504"/>
    <w:rsid w:val="006D7093"/>
    <w:rsid w:val="006E4EFA"/>
    <w:rsid w:val="00702EA4"/>
    <w:rsid w:val="007043BA"/>
    <w:rsid w:val="00714485"/>
    <w:rsid w:val="00721A1D"/>
    <w:rsid w:val="00726673"/>
    <w:rsid w:val="0073425A"/>
    <w:rsid w:val="00742C89"/>
    <w:rsid w:val="00754EE0"/>
    <w:rsid w:val="00783CEF"/>
    <w:rsid w:val="00786D5A"/>
    <w:rsid w:val="00795C3A"/>
    <w:rsid w:val="007B23F9"/>
    <w:rsid w:val="007C3214"/>
    <w:rsid w:val="007F2F55"/>
    <w:rsid w:val="007F7E90"/>
    <w:rsid w:val="00822974"/>
    <w:rsid w:val="0082788D"/>
    <w:rsid w:val="008428C9"/>
    <w:rsid w:val="008D0663"/>
    <w:rsid w:val="00904F22"/>
    <w:rsid w:val="00923B6C"/>
    <w:rsid w:val="00931ECF"/>
    <w:rsid w:val="00953361"/>
    <w:rsid w:val="00962E04"/>
    <w:rsid w:val="0098547F"/>
    <w:rsid w:val="009C3968"/>
    <w:rsid w:val="009C5AB1"/>
    <w:rsid w:val="009F2301"/>
    <w:rsid w:val="009F32DC"/>
    <w:rsid w:val="00A06BB8"/>
    <w:rsid w:val="00A66B43"/>
    <w:rsid w:val="00A835AA"/>
    <w:rsid w:val="00A85BBF"/>
    <w:rsid w:val="00AB1FB6"/>
    <w:rsid w:val="00B27D56"/>
    <w:rsid w:val="00B3456E"/>
    <w:rsid w:val="00B70FD5"/>
    <w:rsid w:val="00B81CFF"/>
    <w:rsid w:val="00BB7BCD"/>
    <w:rsid w:val="00BE7C66"/>
    <w:rsid w:val="00BF5AE1"/>
    <w:rsid w:val="00C11C62"/>
    <w:rsid w:val="00C14078"/>
    <w:rsid w:val="00C35E89"/>
    <w:rsid w:val="00C473EE"/>
    <w:rsid w:val="00C504C4"/>
    <w:rsid w:val="00C577F9"/>
    <w:rsid w:val="00C758AA"/>
    <w:rsid w:val="00CB2316"/>
    <w:rsid w:val="00CC0857"/>
    <w:rsid w:val="00CC2637"/>
    <w:rsid w:val="00D00E1B"/>
    <w:rsid w:val="00D041E9"/>
    <w:rsid w:val="00D16463"/>
    <w:rsid w:val="00D2265B"/>
    <w:rsid w:val="00D25F50"/>
    <w:rsid w:val="00DA713F"/>
    <w:rsid w:val="00DB602F"/>
    <w:rsid w:val="00DE25B1"/>
    <w:rsid w:val="00E02EE7"/>
    <w:rsid w:val="00E631DA"/>
    <w:rsid w:val="00E66344"/>
    <w:rsid w:val="00EA748A"/>
    <w:rsid w:val="00EC0CB9"/>
    <w:rsid w:val="00EC16B2"/>
    <w:rsid w:val="00EC74B9"/>
    <w:rsid w:val="00EE18F7"/>
    <w:rsid w:val="00F1670D"/>
    <w:rsid w:val="00F35B3D"/>
    <w:rsid w:val="00F50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E6679E76-90E5-48CA-AAFF-32453301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70D"/>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paragraph" w:customStyle="1" w:styleId="Textbody">
    <w:name w:val="Text body"/>
    <w:basedOn w:val="Normal"/>
    <w:rsid w:val="00E66344"/>
    <w:pPr>
      <w:widowControl w:val="0"/>
      <w:suppressAutoHyphens/>
      <w:autoSpaceDN w:val="0"/>
      <w:spacing w:after="120"/>
      <w:ind w:firstLine="0"/>
      <w:jc w:val="left"/>
      <w:textAlignment w:val="baseline"/>
    </w:pPr>
    <w:rPr>
      <w:rFonts w:eastAsia="SimSun" w:cs="Mangal"/>
      <w:kern w:val="3"/>
      <w:sz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028A4-838A-46C9-8567-DC346F4E4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4184</Words>
  <Characters>23854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27983</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LENOVO</cp:lastModifiedBy>
  <cp:revision>4</cp:revision>
  <cp:lastPrinted>2023-01-18T07:11:00Z</cp:lastPrinted>
  <dcterms:created xsi:type="dcterms:W3CDTF">2024-03-16T16:57:00Z</dcterms:created>
  <dcterms:modified xsi:type="dcterms:W3CDTF">2024-03-26T05:41:00Z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https://csl.mendeley.com/styles/564971681/apa-2</vt:lpwstr>
  </property>
  <property fmtid="{D5CDD505-2E9C-101B-9397-08002B2CF9AE}" pid="9" name="Mendeley Recent Style Name 3_1">
    <vt:lpwstr>American Psychological Association 7th edition - Alin Fithor Rudiyanto</vt:lpwstr>
  </property>
  <property fmtid="{D5CDD505-2E9C-101B-9397-08002B2CF9AE}" pid="10" name="Mendeley Recent Style Id 4_1">
    <vt:lpwstr>http://csl.mendeley.com/styles/564971681/apa-3</vt:lpwstr>
  </property>
  <property fmtid="{D5CDD505-2E9C-101B-9397-08002B2CF9AE}" pid="11" name="Mendeley Recent Style Name 4_1">
    <vt:lpwstr>American Psychological Association 7th edition - Alin Fithor dan Rudiyanto</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http://www.zotero.org/styles/apa</vt:lpwstr>
  </property>
  <property fmtid="{D5CDD505-2E9C-101B-9397-08002B2CF9AE}" pid="23" name="Mendeley Document_1">
    <vt:lpwstr>True</vt:lpwstr>
  </property>
  <property fmtid="{D5CDD505-2E9C-101B-9397-08002B2CF9AE}" pid="24" name="Mendeley Unique User Id_1">
    <vt:lpwstr>61f0a211-4c9d-3ef0-b519-bdd7d96930a0</vt:lpwstr>
  </property>
</Properties>
</file>